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C2962" w14:textId="2E728B96" w:rsidR="00951CA3" w:rsidRPr="000D1D2F" w:rsidRDefault="003B0361" w:rsidP="00441552">
      <w:pPr>
        <w:ind w:left="5954" w:right="2"/>
        <w:jc w:val="both"/>
        <w:rPr>
          <w:rFonts w:ascii="Times New Roman" w:eastAsia="Times New Roman" w:hAnsi="Times New Roman" w:cs="Times New Roman"/>
          <w:bCs/>
          <w:sz w:val="26"/>
          <w:szCs w:val="26"/>
          <w:highlight w:val="white"/>
          <w:lang w:val="uk-UA"/>
        </w:rPr>
      </w:pPr>
      <w:r w:rsidRPr="00361755">
        <w:rPr>
          <w:rFonts w:ascii="Times New Roman" w:eastAsia="Times New Roman" w:hAnsi="Times New Roman" w:cs="Times New Roman"/>
          <w:bCs/>
          <w:sz w:val="24"/>
          <w:szCs w:val="24"/>
          <w:highlight w:val="white"/>
          <w:lang w:val="uk-UA"/>
        </w:rPr>
        <w:t>Додаток 1</w:t>
      </w:r>
      <w:r w:rsidR="00361755" w:rsidRPr="00361755">
        <w:rPr>
          <w:rFonts w:ascii="Times New Roman" w:eastAsia="Times New Roman" w:hAnsi="Times New Roman" w:cs="Times New Roman"/>
          <w:bCs/>
          <w:sz w:val="24"/>
          <w:szCs w:val="24"/>
          <w:highlight w:val="white"/>
          <w:lang w:val="uk-UA"/>
        </w:rPr>
        <w:t xml:space="preserve"> до </w:t>
      </w:r>
      <w:r w:rsidR="00441552">
        <w:rPr>
          <w:rFonts w:ascii="Times New Roman" w:eastAsia="Times New Roman" w:hAnsi="Times New Roman" w:cs="Times New Roman"/>
          <w:bCs/>
          <w:sz w:val="24"/>
          <w:szCs w:val="24"/>
          <w:highlight w:val="white"/>
          <w:lang w:val="uk-UA"/>
        </w:rPr>
        <w:t>наказу ректора НШСУ</w:t>
      </w:r>
      <w:r w:rsidR="0007206D">
        <w:rPr>
          <w:rFonts w:ascii="Times New Roman" w:eastAsia="Times New Roman" w:hAnsi="Times New Roman" w:cs="Times New Roman"/>
          <w:bCs/>
          <w:sz w:val="24"/>
          <w:szCs w:val="24"/>
          <w:highlight w:val="white"/>
          <w:lang w:val="uk-UA"/>
        </w:rPr>
        <w:t xml:space="preserve"> </w:t>
      </w:r>
      <w:r w:rsidR="00951CA3" w:rsidRPr="00361755">
        <w:rPr>
          <w:rFonts w:ascii="Times New Roman" w:eastAsia="Times New Roman" w:hAnsi="Times New Roman" w:cs="Times New Roman"/>
          <w:bCs/>
          <w:sz w:val="24"/>
          <w:szCs w:val="24"/>
          <w:highlight w:val="white"/>
          <w:lang w:val="uk-UA"/>
        </w:rPr>
        <w:t xml:space="preserve">від </w:t>
      </w:r>
      <w:r w:rsidR="00207AA2">
        <w:rPr>
          <w:rFonts w:ascii="Times New Roman" w:eastAsia="Times New Roman" w:hAnsi="Times New Roman" w:cs="Times New Roman"/>
          <w:bCs/>
          <w:sz w:val="24"/>
          <w:szCs w:val="24"/>
          <w:highlight w:val="white"/>
          <w:lang w:val="uk-UA"/>
        </w:rPr>
        <w:t>07.08.2026</w:t>
      </w:r>
      <w:r w:rsidR="00951CA3" w:rsidRPr="00361755">
        <w:rPr>
          <w:rFonts w:ascii="Times New Roman" w:eastAsia="Times New Roman" w:hAnsi="Times New Roman" w:cs="Times New Roman"/>
          <w:bCs/>
          <w:sz w:val="24"/>
          <w:szCs w:val="24"/>
          <w:highlight w:val="white"/>
          <w:lang w:val="uk-UA"/>
        </w:rPr>
        <w:t xml:space="preserve"> №</w:t>
      </w:r>
      <w:r w:rsidR="00951CA3" w:rsidRPr="00240598">
        <w:rPr>
          <w:rFonts w:ascii="Times New Roman" w:eastAsia="Times New Roman" w:hAnsi="Times New Roman" w:cs="Times New Roman"/>
          <w:bCs/>
          <w:sz w:val="24"/>
          <w:szCs w:val="24"/>
          <w:highlight w:val="white"/>
          <w:lang w:val="uk-UA"/>
        </w:rPr>
        <w:t xml:space="preserve"> </w:t>
      </w:r>
      <w:r w:rsidR="00207AA2">
        <w:rPr>
          <w:rFonts w:ascii="Times New Roman" w:eastAsia="Times New Roman" w:hAnsi="Times New Roman" w:cs="Times New Roman"/>
          <w:bCs/>
          <w:sz w:val="24"/>
          <w:szCs w:val="24"/>
          <w:highlight w:val="white"/>
          <w:lang w:val="uk-UA"/>
        </w:rPr>
        <w:t>39</w:t>
      </w:r>
      <w:bookmarkStart w:id="0" w:name="_GoBack"/>
      <w:bookmarkEnd w:id="0"/>
    </w:p>
    <w:p w14:paraId="7C041256" w14:textId="77777777" w:rsidR="003B0361" w:rsidRPr="00620894" w:rsidRDefault="003B0361" w:rsidP="00337E49">
      <w:pPr>
        <w:ind w:right="2" w:firstLine="705"/>
        <w:jc w:val="right"/>
        <w:rPr>
          <w:rFonts w:ascii="Times New Roman" w:eastAsia="Times New Roman" w:hAnsi="Times New Roman" w:cs="Times New Roman"/>
          <w:b/>
          <w:bCs/>
          <w:sz w:val="26"/>
          <w:szCs w:val="26"/>
          <w:highlight w:val="white"/>
          <w:lang w:val="uk-UA"/>
        </w:rPr>
      </w:pPr>
    </w:p>
    <w:p w14:paraId="00000002" w14:textId="3E3CB267" w:rsidR="00D21323" w:rsidRDefault="00D21323" w:rsidP="00337E49">
      <w:pPr>
        <w:ind w:right="2" w:firstLine="705"/>
        <w:jc w:val="right"/>
        <w:rPr>
          <w:rFonts w:ascii="Times New Roman" w:eastAsia="Times New Roman" w:hAnsi="Times New Roman" w:cs="Times New Roman"/>
          <w:b/>
          <w:bCs/>
          <w:sz w:val="26"/>
          <w:szCs w:val="26"/>
          <w:highlight w:val="white"/>
        </w:rPr>
      </w:pPr>
    </w:p>
    <w:p w14:paraId="3994E8EB" w14:textId="77777777" w:rsidR="009D242A" w:rsidRPr="00620894" w:rsidRDefault="009D242A" w:rsidP="00337E49">
      <w:pPr>
        <w:ind w:right="2" w:firstLine="705"/>
        <w:jc w:val="right"/>
        <w:rPr>
          <w:rFonts w:ascii="Times New Roman" w:eastAsia="Times New Roman" w:hAnsi="Times New Roman" w:cs="Times New Roman"/>
          <w:b/>
          <w:bCs/>
          <w:sz w:val="26"/>
          <w:szCs w:val="26"/>
          <w:highlight w:val="white"/>
        </w:rPr>
      </w:pPr>
    </w:p>
    <w:p w14:paraId="75F97362" w14:textId="77777777" w:rsidR="00DC783B" w:rsidRPr="008568D8" w:rsidRDefault="000F2C83" w:rsidP="00DC783B">
      <w:pPr>
        <w:spacing w:before="240"/>
        <w:ind w:right="2"/>
        <w:jc w:val="center"/>
        <w:rPr>
          <w:rFonts w:ascii="Times New Roman" w:eastAsia="Times New Roman" w:hAnsi="Times New Roman" w:cs="Times New Roman"/>
          <w:b/>
          <w:bCs/>
          <w:sz w:val="28"/>
          <w:szCs w:val="28"/>
          <w:highlight w:val="white"/>
          <w:lang w:val="uk-UA"/>
        </w:rPr>
      </w:pPr>
      <w:r w:rsidRPr="008568D8">
        <w:rPr>
          <w:rFonts w:ascii="Times New Roman" w:eastAsia="Times New Roman" w:hAnsi="Times New Roman" w:cs="Times New Roman"/>
          <w:b/>
          <w:bCs/>
          <w:sz w:val="28"/>
          <w:szCs w:val="28"/>
          <w:highlight w:val="white"/>
        </w:rPr>
        <w:t>Методичні рекоменда</w:t>
      </w:r>
      <w:r w:rsidR="00DC783B" w:rsidRPr="008568D8">
        <w:rPr>
          <w:rFonts w:ascii="Times New Roman" w:eastAsia="Times New Roman" w:hAnsi="Times New Roman" w:cs="Times New Roman"/>
          <w:b/>
          <w:bCs/>
          <w:sz w:val="28"/>
          <w:szCs w:val="28"/>
          <w:highlight w:val="white"/>
        </w:rPr>
        <w:t>ції щодо проведення регулярного</w:t>
      </w:r>
    </w:p>
    <w:p w14:paraId="00000003" w14:textId="7DCC7334" w:rsidR="00D21323" w:rsidRPr="008568D8" w:rsidRDefault="000F2C83" w:rsidP="00DC783B">
      <w:pPr>
        <w:spacing w:after="240"/>
        <w:ind w:right="2"/>
        <w:jc w:val="center"/>
        <w:rPr>
          <w:rFonts w:ascii="Times New Roman" w:eastAsia="Times New Roman" w:hAnsi="Times New Roman" w:cs="Times New Roman"/>
          <w:b/>
          <w:bCs/>
          <w:sz w:val="28"/>
          <w:szCs w:val="28"/>
          <w:highlight w:val="white"/>
        </w:rPr>
      </w:pPr>
      <w:r w:rsidRPr="008568D8">
        <w:rPr>
          <w:rFonts w:ascii="Times New Roman" w:eastAsia="Times New Roman" w:hAnsi="Times New Roman" w:cs="Times New Roman"/>
          <w:b/>
          <w:bCs/>
          <w:sz w:val="28"/>
          <w:szCs w:val="28"/>
          <w:highlight w:val="white"/>
        </w:rPr>
        <w:t>оцінювання судді</w:t>
      </w:r>
    </w:p>
    <w:p w14:paraId="00000005" w14:textId="77777777" w:rsidR="00D21323" w:rsidRPr="00620894" w:rsidRDefault="000F2C83" w:rsidP="00435BE3">
      <w:pPr>
        <w:pStyle w:val="2"/>
        <w:numPr>
          <w:ilvl w:val="0"/>
          <w:numId w:val="2"/>
        </w:numPr>
        <w:ind w:left="0" w:right="2" w:firstLine="0"/>
        <w:jc w:val="center"/>
        <w:rPr>
          <w:rFonts w:ascii="Times New Roman" w:eastAsia="Times New Roman" w:hAnsi="Times New Roman" w:cs="Times New Roman"/>
          <w:b/>
          <w:bCs/>
          <w:sz w:val="26"/>
          <w:szCs w:val="26"/>
          <w:highlight w:val="white"/>
        </w:rPr>
      </w:pPr>
      <w:bookmarkStart w:id="1" w:name="_heading=h.s52deef4s35f" w:colFirst="0" w:colLast="0"/>
      <w:bookmarkEnd w:id="1"/>
      <w:r w:rsidRPr="00620894">
        <w:rPr>
          <w:rFonts w:ascii="Times New Roman" w:eastAsia="Times New Roman" w:hAnsi="Times New Roman" w:cs="Times New Roman"/>
          <w:b/>
          <w:bCs/>
          <w:sz w:val="26"/>
          <w:szCs w:val="26"/>
          <w:highlight w:val="white"/>
        </w:rPr>
        <w:t>Загальні положення</w:t>
      </w:r>
    </w:p>
    <w:p w14:paraId="00000007" w14:textId="78D0E14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Методичні рекомендації щодо проведення рег</w:t>
      </w:r>
      <w:r w:rsidR="00082F5E" w:rsidRPr="00082F5E">
        <w:rPr>
          <w:rFonts w:ascii="Times New Roman" w:eastAsia="Times New Roman" w:hAnsi="Times New Roman" w:cs="Times New Roman"/>
          <w:sz w:val="25"/>
          <w:szCs w:val="25"/>
          <w:highlight w:val="white"/>
        </w:rPr>
        <w:t xml:space="preserve">улярного оцінювання судді (далі – </w:t>
      </w:r>
      <w:r w:rsidRPr="00082F5E">
        <w:rPr>
          <w:rFonts w:ascii="Times New Roman" w:eastAsia="Times New Roman" w:hAnsi="Times New Roman" w:cs="Times New Roman"/>
          <w:sz w:val="25"/>
          <w:szCs w:val="25"/>
          <w:highlight w:val="white"/>
        </w:rPr>
        <w:t>Методичні рекомендації) розроблено на виконання рішення Вищої кваліфікаційної комісії суддів України від 29 вересня 2025 року № 181/зп-25, яким затверджено Положення про регулярне оцінювання судді (далі</w:t>
      </w:r>
      <w:r w:rsidR="00082F5E" w:rsidRPr="00082F5E">
        <w:rPr>
          <w:rFonts w:ascii="Times New Roman" w:eastAsia="Times New Roman" w:hAnsi="Times New Roman" w:cs="Times New Roman"/>
          <w:sz w:val="25"/>
          <w:szCs w:val="25"/>
          <w:highlight w:val="white"/>
          <w:lang w:val="uk-UA"/>
        </w:rPr>
        <w:t xml:space="preserve"> – </w:t>
      </w:r>
      <w:r w:rsidRPr="00082F5E">
        <w:rPr>
          <w:rFonts w:ascii="Times New Roman" w:eastAsia="Times New Roman" w:hAnsi="Times New Roman" w:cs="Times New Roman"/>
          <w:sz w:val="25"/>
          <w:szCs w:val="25"/>
          <w:highlight w:val="white"/>
        </w:rPr>
        <w:t xml:space="preserve">Положення про регулярне оцінювання судді) згідно із п. 1.3. Дорожньої карти з питань верховенства права, схваленої розпорядженням Кабінету Міністрів України від 14 травня 2025 року № 475-р. </w:t>
      </w:r>
    </w:p>
    <w:p w14:paraId="00000008" w14:textId="77777777" w:rsidR="00D21323" w:rsidRPr="00082F5E" w:rsidRDefault="000F2C83" w:rsidP="00337E49">
      <w:pPr>
        <w:ind w:right="2" w:firstLine="705"/>
        <w:jc w:val="both"/>
        <w:rPr>
          <w:rFonts w:ascii="Times New Roman" w:eastAsia="Times New Roman" w:hAnsi="Times New Roman" w:cs="Times New Roman"/>
          <w:b/>
          <w:bCs/>
          <w:i/>
          <w:iCs/>
          <w:sz w:val="25"/>
          <w:szCs w:val="25"/>
          <w:highlight w:val="white"/>
        </w:rPr>
      </w:pPr>
      <w:r w:rsidRPr="00082F5E">
        <w:rPr>
          <w:rFonts w:ascii="Times New Roman" w:eastAsia="Times New Roman" w:hAnsi="Times New Roman" w:cs="Times New Roman"/>
          <w:sz w:val="25"/>
          <w:szCs w:val="25"/>
          <w:highlight w:val="white"/>
        </w:rPr>
        <w:t>Методичні рекомендації підготовлено для забезпечення правильності заповнення анкет, достовірності, валідності та репрезентативності даних, які мають бути відображені.</w:t>
      </w:r>
    </w:p>
    <w:p w14:paraId="00000009" w14:textId="77777777" w:rsidR="00D21323" w:rsidRPr="00620894" w:rsidRDefault="000F2C83" w:rsidP="00337E49">
      <w:pPr>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Мета регулярного оцінювання.</w:t>
      </w:r>
    </w:p>
    <w:p w14:paraId="0000000A" w14:textId="003CFBA8"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Відповідно до частини першої статті 90 Закону України </w:t>
      </w:r>
      <w:r w:rsidR="00337E49" w:rsidRPr="00082F5E">
        <w:rPr>
          <w:rFonts w:ascii="Times New Roman" w:eastAsia="Times New Roman" w:hAnsi="Times New Roman" w:cs="Times New Roman"/>
          <w:sz w:val="25"/>
          <w:szCs w:val="25"/>
          <w:highlight w:val="white"/>
          <w:lang w:val="uk-UA"/>
        </w:rPr>
        <w:t>«</w:t>
      </w:r>
      <w:r w:rsidR="00337E49" w:rsidRPr="00082F5E">
        <w:rPr>
          <w:rFonts w:ascii="Times New Roman" w:eastAsia="Times New Roman" w:hAnsi="Times New Roman" w:cs="Times New Roman"/>
          <w:sz w:val="25"/>
          <w:szCs w:val="25"/>
          <w:highlight w:val="white"/>
        </w:rPr>
        <w:t>Про судоустрій і статус суддів</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регулярне оцінювання судді упродовж перебування на посаді проводиться з метою виявлення індивідуальних потреб судді щодо вдосконалення, стимулювання його до підтримання кваліфікації на належному рівні та професійного зростання.</w:t>
      </w:r>
    </w:p>
    <w:p w14:paraId="0000000B"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Важливо, щоб регулярне оцінювання проводилось виключно з наведеною метою і його результати використовувались лише як рекомендації. Регулярне оцінювання не має контрольної функції.</w:t>
      </w:r>
    </w:p>
    <w:p w14:paraId="0000000C" w14:textId="78752E01"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Суддя, беручи участь у навчальних заходах має перебувати у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безпечному навчальному середовищі</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а регулярне оцінювання має розглядатись як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інструмент, що використовується закладом суддівської освіти</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для виявлення навчальних потреб та сприяння у вдосконаленні, підтриманні кваліфікації суддів.</w:t>
      </w:r>
    </w:p>
    <w:p w14:paraId="0000000D"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Завданням суб’єктів регулярного оцінювання є недопущення використання процедури та результатів регулярного оцінювання (в т.ч. поширення відповідної інформації) поза визначеною законом метою, що може становити загрозу для незалежності судді, створювати сумніви у рівні його кваліфікації. Для цього, суб’єкти регулярного оцінювання мають вживати заходів для недопущення поширення інформації, здобутої в процесі регулярного оцінювання та використання її з метою, відмінною від мети регулярного оцінювання. </w:t>
      </w:r>
    </w:p>
    <w:p w14:paraId="0000000E" w14:textId="6B03CB3A"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Згідно із абзацом другим пункту 5 Положення про регулярне оцінювання судді,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для цілей регулярного оцінювання презюмується, що суддя володіє достатнім рівнем компетентності для здійснення правосуддя</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У зв’язку з цим, інформація, зібрана в процесі регулярного оцінювання не може свідчити про недостатній рівень компетентності судді, і підлягає використанню лише для виявлення індивідуальних навчальних потреб судді щодо вдосконалення та професійного зростання. </w:t>
      </w:r>
    </w:p>
    <w:p w14:paraId="0000000F"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Результати регулярного оцінювання носять виключно рекомендаційний характер і не є свідченням наявності  прогалин у професійній компетентності судді.</w:t>
      </w:r>
    </w:p>
    <w:p w14:paraId="00000010"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При проведенні регулярного оцінювання доцільно  дотримуватися таких принципів, як:</w:t>
      </w:r>
    </w:p>
    <w:p w14:paraId="00000011"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Об'єктивність:</w:t>
      </w:r>
      <w:r w:rsidRPr="00082F5E">
        <w:rPr>
          <w:rFonts w:ascii="Times New Roman" w:eastAsia="Times New Roman" w:hAnsi="Times New Roman" w:cs="Times New Roman"/>
          <w:sz w:val="25"/>
          <w:szCs w:val="25"/>
          <w:highlight w:val="white"/>
        </w:rPr>
        <w:t xml:space="preserve"> інформація має ґрунтуватися виключно на фактах, а не на особистих симпатіях чи антипатіях.</w:t>
      </w:r>
    </w:p>
    <w:p w14:paraId="00000012"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Конфіденційність:</w:t>
      </w:r>
      <w:r w:rsidRPr="00082F5E">
        <w:rPr>
          <w:rFonts w:ascii="Times New Roman" w:eastAsia="Times New Roman" w:hAnsi="Times New Roman" w:cs="Times New Roman"/>
          <w:sz w:val="25"/>
          <w:szCs w:val="25"/>
          <w:highlight w:val="white"/>
        </w:rPr>
        <w:t xml:space="preserve"> дотримання процедур, встановлених ВККС, щодо надання та збереження інформації.</w:t>
      </w:r>
    </w:p>
    <w:p w14:paraId="00000013"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Етичність:</w:t>
      </w:r>
      <w:r w:rsidRPr="00082F5E">
        <w:rPr>
          <w:rFonts w:ascii="Times New Roman" w:eastAsia="Times New Roman" w:hAnsi="Times New Roman" w:cs="Times New Roman"/>
          <w:sz w:val="25"/>
          <w:szCs w:val="25"/>
          <w:highlight w:val="white"/>
        </w:rPr>
        <w:t xml:space="preserve"> уникнення використання емоційно забарвленої чи неперевіреної інформації (пліток, думок третіх осіб, тощо).</w:t>
      </w:r>
    </w:p>
    <w:p w14:paraId="00000014"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Дотримання об'єктивності:</w:t>
      </w:r>
      <w:r w:rsidRPr="00082F5E">
        <w:rPr>
          <w:rFonts w:ascii="Times New Roman" w:eastAsia="Times New Roman" w:hAnsi="Times New Roman" w:cs="Times New Roman"/>
          <w:sz w:val="25"/>
          <w:szCs w:val="25"/>
          <w:highlight w:val="white"/>
        </w:rPr>
        <w:t xml:space="preserve"> збір інформації має ґрунтуватися виключно на фактах і доказах, унеможливлюючи вплив особистого ставлення, неприязні чи симпатії, з дотриманням принципу неупередженості.</w:t>
      </w:r>
    </w:p>
    <w:p w14:paraId="00000015"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trike/>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Дотримання процедури:</w:t>
      </w:r>
      <w:r w:rsidRPr="00082F5E">
        <w:rPr>
          <w:rFonts w:ascii="Times New Roman" w:eastAsia="Times New Roman" w:hAnsi="Times New Roman" w:cs="Times New Roman"/>
          <w:sz w:val="25"/>
          <w:szCs w:val="25"/>
          <w:highlight w:val="white"/>
        </w:rPr>
        <w:t xml:space="preserve"> суб'єкт зобов'язаний здійснювати фіксацію результатів спостереження виключно відповідно до вимог Анкет (Додатки 1-4 до Положення про регулярне оцінювання судді).</w:t>
      </w:r>
    </w:p>
    <w:p w14:paraId="0000001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Інструментарій</w:t>
      </w:r>
      <w:r w:rsidRPr="00082F5E">
        <w:rPr>
          <w:rFonts w:ascii="Times New Roman" w:eastAsia="Times New Roman" w:hAnsi="Times New Roman" w:cs="Times New Roman"/>
          <w:sz w:val="25"/>
          <w:szCs w:val="25"/>
          <w:highlight w:val="white"/>
        </w:rPr>
        <w:t>, що мінімізує вплив особистого сприйняття:</w:t>
      </w:r>
    </w:p>
    <w:p w14:paraId="00000017"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 xml:space="preserve">Фактичність: </w:t>
      </w:r>
      <w:r w:rsidRPr="00082F5E">
        <w:rPr>
          <w:rFonts w:ascii="Times New Roman" w:eastAsia="Times New Roman" w:hAnsi="Times New Roman" w:cs="Times New Roman"/>
          <w:sz w:val="25"/>
          <w:szCs w:val="25"/>
          <w:highlight w:val="white"/>
        </w:rPr>
        <w:t xml:space="preserve">фіксації підлягають лише конкретні випадки та факти (коли, де, що саме відбулося), які є релевантними критеріям оцінювання. </w:t>
      </w:r>
    </w:p>
    <w:p w14:paraId="00000018"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Релевантність: </w:t>
      </w:r>
      <w:r w:rsidRPr="00082F5E">
        <w:rPr>
          <w:rFonts w:ascii="Times New Roman" w:eastAsia="Times New Roman" w:hAnsi="Times New Roman" w:cs="Times New Roman"/>
          <w:sz w:val="25"/>
          <w:szCs w:val="25"/>
          <w:highlight w:val="white"/>
        </w:rPr>
        <w:t>спостереження має стосуватися професійної діяльності та етики судді, а не його приватного життя.</w:t>
      </w:r>
    </w:p>
    <w:p w14:paraId="00000019"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Повнота: </w:t>
      </w:r>
      <w:r w:rsidRPr="00082F5E">
        <w:rPr>
          <w:rFonts w:ascii="Times New Roman" w:eastAsia="Times New Roman" w:hAnsi="Times New Roman" w:cs="Times New Roman"/>
          <w:sz w:val="25"/>
          <w:szCs w:val="25"/>
          <w:highlight w:val="white"/>
        </w:rPr>
        <w:t>відповідність знань та умінь судді показникам, зазначеним у анкеті, шляхом порівняння результатів з очікуваними результатами професійної діяльності, визначеними у Положенні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Вищої кваліфікаційної комісії суддів України 22.01.2025 № 20/зп-25 зі змінами (далі –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1A"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Уникнення суб'єктивності: </w:t>
      </w:r>
      <w:r w:rsidRPr="00082F5E">
        <w:rPr>
          <w:rFonts w:ascii="Times New Roman" w:eastAsia="Times New Roman" w:hAnsi="Times New Roman" w:cs="Times New Roman"/>
          <w:sz w:val="25"/>
          <w:szCs w:val="25"/>
          <w:highlight w:val="white"/>
        </w:rPr>
        <w:t>суб’єкт спостереження має фіксувати дії та результати, а не власні враження чи думки про них.</w:t>
      </w:r>
    </w:p>
    <w:p w14:paraId="0000001B"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Диференціація: </w:t>
      </w:r>
      <w:r w:rsidRPr="00082F5E">
        <w:rPr>
          <w:rFonts w:ascii="Times New Roman" w:eastAsia="Times New Roman" w:hAnsi="Times New Roman" w:cs="Times New Roman"/>
          <w:sz w:val="25"/>
          <w:szCs w:val="25"/>
          <w:highlight w:val="white"/>
        </w:rPr>
        <w:t>чітке розмежування фактів спостереження від власних висновків чи інтерпретацій.</w:t>
      </w:r>
    </w:p>
    <w:p w14:paraId="0000001C"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Застосування методу спостереження є ключовим елементом для забезпечення всебічного та якісного оцінювання.</w:t>
      </w:r>
    </w:p>
    <w:p w14:paraId="0000001D"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Ключові вимоги до спостереження:</w:t>
      </w:r>
    </w:p>
    <w:p w14:paraId="0000001E"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Репрезентативність: </w:t>
      </w:r>
      <w:r w:rsidRPr="00082F5E">
        <w:rPr>
          <w:rFonts w:ascii="Times New Roman" w:eastAsia="Times New Roman" w:hAnsi="Times New Roman" w:cs="Times New Roman"/>
          <w:sz w:val="25"/>
          <w:szCs w:val="25"/>
          <w:highlight w:val="white"/>
        </w:rPr>
        <w:t>спостереження не має обмежуватися однією сферою. Доцільно зібрати інформацію як про процесуальну діяльність, так і про взаємодію в колективі.</w:t>
      </w:r>
    </w:p>
    <w:p w14:paraId="0000001F"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Контекстуальність: </w:t>
      </w:r>
      <w:r w:rsidRPr="00082F5E">
        <w:rPr>
          <w:rFonts w:ascii="Times New Roman" w:eastAsia="Times New Roman" w:hAnsi="Times New Roman" w:cs="Times New Roman"/>
          <w:sz w:val="25"/>
          <w:szCs w:val="25"/>
          <w:highlight w:val="white"/>
        </w:rPr>
        <w:t xml:space="preserve">фіксувати лише ті факти, які прямо стосуються критеріїв оцінювання. </w:t>
      </w:r>
    </w:p>
    <w:p w14:paraId="00000020"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Головний принцип адаптації: </w:t>
      </w:r>
      <w:r w:rsidRPr="00082F5E">
        <w:rPr>
          <w:rFonts w:ascii="Times New Roman" w:eastAsia="Times New Roman" w:hAnsi="Times New Roman" w:cs="Times New Roman"/>
          <w:sz w:val="25"/>
          <w:szCs w:val="25"/>
          <w:highlight w:val="white"/>
        </w:rPr>
        <w:t>забезпечення достовірності та валідності інформації, шляхом її прив'язки до вимірюваних індикаторів та фактичних доказів.</w:t>
      </w:r>
    </w:p>
    <w:p w14:paraId="00000021"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Загальними (спільними) показниками (критеріями), які містять анкети оцінювання судді за результатами тренінгу (додаток 1 до Положення про регулярне оцінювання судді), оцінювання судді іншими суддями відповідного суду (додаток 2 до Положення про </w:t>
      </w:r>
      <w:r w:rsidRPr="00082F5E">
        <w:rPr>
          <w:rFonts w:ascii="Times New Roman" w:eastAsia="Times New Roman" w:hAnsi="Times New Roman" w:cs="Times New Roman"/>
          <w:sz w:val="25"/>
          <w:szCs w:val="25"/>
          <w:highlight w:val="white"/>
        </w:rPr>
        <w:lastRenderedPageBreak/>
        <w:t>регулярне оцінювання судді);  самооцінювання судді (додаток 3 до Положення про регулярне оцінювання судді) є:</w:t>
      </w:r>
    </w:p>
    <w:p w14:paraId="00000022"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Рішучість </w:t>
      </w:r>
      <w:r w:rsidRPr="00082F5E">
        <w:rPr>
          <w:rFonts w:ascii="Times New Roman" w:eastAsia="Times New Roman" w:hAnsi="Times New Roman" w:cs="Times New Roman"/>
          <w:sz w:val="25"/>
          <w:szCs w:val="25"/>
          <w:highlight w:val="white"/>
        </w:rPr>
        <w:t>(показник додатків 1, 2) (п. 2.5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3"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Рішучість – це здатність судді вчасно приймати та не відкладати рішення у значущій для людини ситуації, навіть складні та непопулярні.</w:t>
      </w:r>
    </w:p>
    <w:p w14:paraId="00000024"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рішучості, якщо вчасно приймає рішення, в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в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00000025"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Відповідальність </w:t>
      </w:r>
      <w:r w:rsidRPr="00082F5E">
        <w:rPr>
          <w:rFonts w:ascii="Times New Roman" w:eastAsia="Times New Roman" w:hAnsi="Times New Roman" w:cs="Times New Roman"/>
          <w:sz w:val="25"/>
          <w:szCs w:val="25"/>
          <w:highlight w:val="white"/>
        </w:rPr>
        <w:t>(показник додатків 1, 2) (п. 2.6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Відповідальність – це здатність судді брати на себе відповідальність за рішення та їх наслідки.</w:t>
      </w:r>
    </w:p>
    <w:p w14:paraId="00000027"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00000028"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Безперервний розвиток </w:t>
      </w:r>
      <w:r w:rsidRPr="00082F5E">
        <w:rPr>
          <w:rFonts w:ascii="Times New Roman" w:eastAsia="Times New Roman" w:hAnsi="Times New Roman" w:cs="Times New Roman"/>
          <w:sz w:val="25"/>
          <w:szCs w:val="25"/>
          <w:highlight w:val="white"/>
        </w:rPr>
        <w:t>(показник додатків 1, 2, 3 до Положення про регулярне оцінювання судді) (п. 2.7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9"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Безперервний розвиток – це свідомі та послідовні зусилля судді щодо професійного саморозвитку.</w:t>
      </w:r>
    </w:p>
    <w:p w14:paraId="0000002A"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0000002B"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Ефективна комунікація </w:t>
      </w:r>
      <w:r w:rsidRPr="00082F5E">
        <w:rPr>
          <w:rFonts w:ascii="Times New Roman" w:eastAsia="Times New Roman" w:hAnsi="Times New Roman" w:cs="Times New Roman"/>
          <w:sz w:val="25"/>
          <w:szCs w:val="25"/>
          <w:highlight w:val="white"/>
        </w:rPr>
        <w:t>(показник додатків 2,3 до Положення про регулярне оцінювання судді) (п. 2.9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C"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Ефективна комунікація – це здатність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0000002D"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0000002E"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Ефективна взаємодія </w:t>
      </w:r>
      <w:r w:rsidRPr="00082F5E">
        <w:rPr>
          <w:rFonts w:ascii="Times New Roman" w:eastAsia="Times New Roman" w:hAnsi="Times New Roman" w:cs="Times New Roman"/>
          <w:sz w:val="25"/>
          <w:szCs w:val="25"/>
          <w:highlight w:val="white"/>
        </w:rPr>
        <w:t>(показник додатків 2,3 до Положення про регулярне оцінювання судді) (п. 2.10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F"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Ефективна взаємодія – це здатність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Суддя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00000030"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Стійкість мотивації </w:t>
      </w:r>
      <w:r w:rsidRPr="00082F5E">
        <w:rPr>
          <w:rFonts w:ascii="Times New Roman" w:eastAsia="Times New Roman" w:hAnsi="Times New Roman" w:cs="Times New Roman"/>
          <w:sz w:val="25"/>
          <w:szCs w:val="25"/>
          <w:highlight w:val="white"/>
        </w:rPr>
        <w:t>(показник додатків 1, 2 до Положення про регулярне оцінювання судді)</w:t>
      </w:r>
      <w:r w:rsidRPr="00082F5E">
        <w:rPr>
          <w:rFonts w:ascii="Times New Roman" w:eastAsia="Times New Roman" w:hAnsi="Times New Roman" w:cs="Times New Roman"/>
          <w:b/>
          <w:bCs/>
          <w:sz w:val="25"/>
          <w:szCs w:val="25"/>
          <w:highlight w:val="white"/>
        </w:rPr>
        <w:t xml:space="preserve"> </w:t>
      </w:r>
      <w:r w:rsidRPr="00082F5E">
        <w:rPr>
          <w:rFonts w:ascii="Times New Roman" w:eastAsia="Times New Roman" w:hAnsi="Times New Roman" w:cs="Times New Roman"/>
          <w:sz w:val="25"/>
          <w:szCs w:val="25"/>
          <w:highlight w:val="white"/>
        </w:rPr>
        <w:t xml:space="preserve"> (п. 2.11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31"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Стійкість мотивації – це усвідомлена мотивація судді до тривалого виконання професійних обов’язків судді в межах закону.</w:t>
      </w:r>
    </w:p>
    <w:p w14:paraId="00000032"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w:t>
      </w:r>
    </w:p>
    <w:p w14:paraId="00000033" w14:textId="6337CC96"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Емоційна стійкість </w:t>
      </w:r>
      <w:r w:rsidRPr="00082F5E">
        <w:rPr>
          <w:rFonts w:ascii="Times New Roman" w:eastAsia="Times New Roman" w:hAnsi="Times New Roman" w:cs="Times New Roman"/>
          <w:sz w:val="25"/>
          <w:szCs w:val="25"/>
          <w:highlight w:val="white"/>
        </w:rPr>
        <w:t xml:space="preserve">(показник додатків 2,3 до Положення про </w:t>
      </w:r>
      <w:r w:rsidR="002C2B24">
        <w:rPr>
          <w:rFonts w:ascii="Times New Roman" w:eastAsia="Times New Roman" w:hAnsi="Times New Roman" w:cs="Times New Roman"/>
          <w:sz w:val="25"/>
          <w:szCs w:val="25"/>
          <w:highlight w:val="white"/>
        </w:rPr>
        <w:t>регулярне оцінювання судді) (п.</w:t>
      </w:r>
      <w:r w:rsidR="002C2B24">
        <w:rPr>
          <w:rFonts w:ascii="Times New Roman" w:eastAsia="Times New Roman" w:hAnsi="Times New Roman" w:cs="Times New Roman"/>
          <w:sz w:val="25"/>
          <w:szCs w:val="25"/>
          <w:highlight w:val="white"/>
          <w:lang w:val="uk-UA"/>
        </w:rPr>
        <w:t xml:space="preserve"> </w:t>
      </w:r>
      <w:r w:rsidRPr="00082F5E">
        <w:rPr>
          <w:rFonts w:ascii="Times New Roman" w:eastAsia="Times New Roman" w:hAnsi="Times New Roman" w:cs="Times New Roman"/>
          <w:sz w:val="25"/>
          <w:szCs w:val="25"/>
          <w:highlight w:val="white"/>
        </w:rPr>
        <w:t>2.12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34"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Емоційна стійкість – це здатність судді ефективно управляти своїми емоційними станами.</w:t>
      </w:r>
    </w:p>
    <w:p w14:paraId="00000035"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здатність утримувати фокус та зберігати емоційну рівновагу.</w:t>
      </w:r>
    </w:p>
    <w:p w14:paraId="0000003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Сумлінність </w:t>
      </w:r>
      <w:r w:rsidRPr="00082F5E">
        <w:rPr>
          <w:rFonts w:ascii="Times New Roman" w:eastAsia="Times New Roman" w:hAnsi="Times New Roman" w:cs="Times New Roman"/>
          <w:sz w:val="25"/>
          <w:szCs w:val="25"/>
          <w:highlight w:val="white"/>
        </w:rPr>
        <w:t>(показник додатків 1,2 до Положення про регулярне оцінювання судді).</w:t>
      </w:r>
    </w:p>
    <w:p w14:paraId="00000037"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Сумлінність полягає у виконанні суддею своїх обов’язків ефективно, справедливо, розсудливо, належно, терпляче, гідно, добросовісно, ретельно.</w:t>
      </w:r>
    </w:p>
    <w:p w14:paraId="00000038"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Дотримання етичних норм і бездоганна поведінка </w:t>
      </w:r>
      <w:r w:rsidRPr="00082F5E">
        <w:rPr>
          <w:rFonts w:ascii="Times New Roman" w:eastAsia="Times New Roman" w:hAnsi="Times New Roman" w:cs="Times New Roman"/>
          <w:sz w:val="25"/>
          <w:szCs w:val="25"/>
          <w:highlight w:val="white"/>
        </w:rPr>
        <w:t>(показник додатків 1, 2, 3 до Положення про регулярне оцінювання судді).</w:t>
      </w:r>
    </w:p>
    <w:p w14:paraId="00000039"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Завдання особи, яка оцінює суддю полягає у фіксації й наданні об'єктивних даних, які стосуються поведінки та діяльності об'єкта за цими критеріями.</w:t>
      </w:r>
    </w:p>
    <w:p w14:paraId="0000003A"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Вимоги до фіксації результатів. Оцінка показників судді у формі рекомендації.</w:t>
      </w:r>
    </w:p>
    <w:p w14:paraId="0000003B"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У графі «Оцінка (самооцінка)», додатків 1,2,3 до Положення про регулярне оцінювання судді) не можуть бути відображені чисельники (кількість балів, відсотки, тощо), оціночні мовні формули (відмінно, добре, посередньо, тощо).</w:t>
      </w:r>
    </w:p>
    <w:p w14:paraId="0000003C"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У разі відсутності у суб’єкта оцінювання рекомендацій щодо удосконалення професійного зростання об’єкта оцінювання за відповідним показником, графа «Оцінка» не заповнюється.</w:t>
      </w:r>
    </w:p>
    <w:p w14:paraId="0000003D"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sz w:val="25"/>
          <w:szCs w:val="25"/>
          <w:highlight w:val="white"/>
        </w:rPr>
        <w:t xml:space="preserve">У разі якщо суб’єкт, який здійснює оцінювання (самооцінювання), вважає, що мають бути удосконалені відповідні показники, у графі «Оцінка» зазначається рекомендація удосконалення для професійного зростання: «рекомендовано удосконалити для професійного зростання». </w:t>
      </w:r>
      <w:r w:rsidRPr="00082F5E">
        <w:rPr>
          <w:rFonts w:ascii="Times New Roman" w:eastAsia="Times New Roman" w:hAnsi="Times New Roman" w:cs="Times New Roman"/>
          <w:b/>
          <w:bCs/>
          <w:sz w:val="25"/>
          <w:szCs w:val="25"/>
          <w:highlight w:val="white"/>
        </w:rPr>
        <w:t>Таку оцінку необхідно мотивувати.</w:t>
      </w:r>
    </w:p>
    <w:p w14:paraId="0000003E"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Мотиви оцінки «рекомендовано удосконалити для професійного зростання» мають бути викладені у відповідній частині анкети.</w:t>
      </w:r>
    </w:p>
    <w:p w14:paraId="0000003F"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082F5E">
        <w:rPr>
          <w:rFonts w:ascii="Times New Roman" w:eastAsia="Times New Roman" w:hAnsi="Times New Roman" w:cs="Times New Roman"/>
          <w:sz w:val="25"/>
          <w:szCs w:val="25"/>
          <w:highlight w:val="white"/>
        </w:rPr>
        <w:t xml:space="preserve">Відповідні рекомендації мають бути мотивовані та обґрунтовані. Рекомендації мають бути </w:t>
      </w:r>
      <w:r w:rsidRPr="00082F5E">
        <w:rPr>
          <w:rFonts w:ascii="Times New Roman" w:eastAsia="Times New Roman" w:hAnsi="Times New Roman" w:cs="Times New Roman"/>
          <w:b/>
          <w:bCs/>
          <w:sz w:val="25"/>
          <w:szCs w:val="25"/>
          <w:highlight w:val="white"/>
        </w:rPr>
        <w:t>реальними, конкретними та такими, що можуть бути враховані і реалізовані</w:t>
      </w:r>
      <w:r w:rsidRPr="00082F5E">
        <w:rPr>
          <w:rFonts w:ascii="Times New Roman" w:eastAsia="Times New Roman" w:hAnsi="Times New Roman" w:cs="Times New Roman"/>
          <w:sz w:val="25"/>
          <w:szCs w:val="25"/>
          <w:highlight w:val="white"/>
        </w:rPr>
        <w:t>. Рекомендація у цьому випадку має містити пропозицію щодо певного способу дії, плану заходів, певного навчання тощо та спрямована на покращення професійних навичок відповідно до визначених у анкеті показників.</w:t>
      </w:r>
    </w:p>
    <w:p w14:paraId="00000043" w14:textId="77777777" w:rsidR="00D21323" w:rsidRPr="00620894" w:rsidRDefault="000F2C83" w:rsidP="00435BE3">
      <w:pPr>
        <w:spacing w:before="240" w:after="240"/>
        <w:ind w:right="2" w:firstLine="705"/>
        <w:jc w:val="center"/>
        <w:rPr>
          <w:rFonts w:ascii="Times New Roman" w:eastAsia="Times New Roman" w:hAnsi="Times New Roman" w:cs="Times New Roman"/>
          <w:b/>
          <w:bCs/>
          <w:sz w:val="26"/>
          <w:szCs w:val="26"/>
          <w:highlight w:val="white"/>
        </w:rPr>
      </w:pPr>
      <w:bookmarkStart w:id="2" w:name="_heading=h.pzs5sluq8a44" w:colFirst="0" w:colLast="0"/>
      <w:bookmarkEnd w:id="2"/>
      <w:r w:rsidRPr="00620894">
        <w:rPr>
          <w:rFonts w:ascii="Times New Roman" w:eastAsia="Times New Roman" w:hAnsi="Times New Roman" w:cs="Times New Roman"/>
          <w:b/>
          <w:bCs/>
          <w:sz w:val="26"/>
          <w:szCs w:val="26"/>
          <w:highlight w:val="white"/>
        </w:rPr>
        <w:t>Розділ 2. Методичні рекомендації для проведення оцінювання викладачами (тренерами) Національної школи суддів України</w:t>
      </w:r>
    </w:p>
    <w:p w14:paraId="0000004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Ці методичні рекомендації розроблені для викладачів (тренерів) Національної школи суддів України, які залучаються до процесу регулярного оцінювання судді під час проведення навчальних заходів.</w:t>
      </w:r>
    </w:p>
    <w:p w14:paraId="00000046"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Метою рекомендацій є забезпечення правильності заповнення анкети оцінювання, достовірності, об’єктивності та репрезентативності даних, що отримуються за результатами участі судді у навчальному заході, а також формування рекомендацій для його професійного зростання.</w:t>
      </w:r>
    </w:p>
    <w:p w14:paraId="00000047"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Відомості для цього виду оцінювання отримуються методом спостереження та аналізу навчальної діяльності судді у межах тренінгу.</w:t>
      </w:r>
    </w:p>
    <w:p w14:paraId="00000048"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Відмінності у переліку показників, що застосовуються у додатках 1–3 до Положення про регулярне оцінювання судді, обумовлені різною роллю суб’єктів оцінювання та особливостями методів отримання інформації і не змінюють єдиної мети регулярного оцінювання судді.</w:t>
      </w:r>
    </w:p>
    <w:p w14:paraId="00000049" w14:textId="540D18E9"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Об’єкт оцінювання судді викладачами (тренерами).</w:t>
      </w:r>
    </w:p>
    <w:p w14:paraId="0000004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Об’єктом оцінювання є прояви показників компетентності судді під час участі у тренінгу, зокрема рівень оволодіння суддею знаннями, вміннями, навичками; акуратність і своєчасність виконання завдань; аналітичні здібності, спроможність оцінювати інформацію; вміння взаємодіяти з колегами (спроможність вести переговори, працювати в команді, працювати під тиском тощо); комунікаційні навички (навички складення документів, усного мовлення тощо); сильні сторони судді. </w:t>
      </w:r>
    </w:p>
    <w:p w14:paraId="0000004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здійснюється виключно в навчальному контексті та не охоплює аналіз процесуальних рішень судді або результатів здійснення ним правосуддя поза межами тренінгу.</w:t>
      </w:r>
    </w:p>
    <w:p w14:paraId="0000004C"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lastRenderedPageBreak/>
        <w:t>Суб’єкт оцінювання та його повноваження.</w:t>
      </w:r>
    </w:p>
    <w:p w14:paraId="0000004D"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Суб’єктом оцінювання є викладач (тренер) Національної школи суддів України, який безпосередньо проводить відповідний навчальний захід та здійснює спостереження за участю судді у навчальному процесі.</w:t>
      </w:r>
    </w:p>
    <w:p w14:paraId="0000004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Суб’єкт оцінювання:</w:t>
      </w:r>
    </w:p>
    <w:p w14:paraId="0000004F"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здійснює структуроване спостереження за діяльністю судді під час тренінгу;</w:t>
      </w:r>
    </w:p>
    <w:p w14:paraId="00000050"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аналізує результати виконання практичних завдань, у т.ч. складення письмових документів;</w:t>
      </w:r>
    </w:p>
    <w:p w14:paraId="00000051"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формує рекомендації для професійного зростання судді.</w:t>
      </w:r>
    </w:p>
    <w:p w14:paraId="00000052"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Викладач (тренер) відповідає за об’єктивність, неупередженість і коректність зібраної для оцінювання під час тренінгу інформації.</w:t>
      </w:r>
    </w:p>
    <w:p w14:paraId="0000005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Підготовка викладача (тренера) до оцінювання.</w:t>
      </w:r>
    </w:p>
    <w:p w14:paraId="00000054"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Перед проведенням оцінювання викладач (тренер) зобов’язаний:</w:t>
      </w:r>
    </w:p>
    <w:p w14:paraId="0000005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ознайомитися з метою, завданнями тренінгу та очікуваними результатами навчання;</w:t>
      </w:r>
    </w:p>
    <w:p w14:paraId="0000005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перевірити відсутність конфлікту інтересів щодо конкретного судді;</w:t>
      </w:r>
    </w:p>
    <w:p w14:paraId="0000005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підготувати навчальні матеріали та завдання, що дають змогу оцінити показники судді;</w:t>
      </w:r>
    </w:p>
    <w:p w14:paraId="0000005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забезпечити умови, за яких суддя може повноцінно продемонструвати свою компетентність.</w:t>
      </w:r>
    </w:p>
    <w:p w14:paraId="00000059"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Збір та аналіз інформації для оцінювання</w:t>
      </w:r>
    </w:p>
    <w:p w14:paraId="0000005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Збір та аналіз інформації для цього виду оцінювання здійснюється шляхом:</w:t>
      </w:r>
    </w:p>
    <w:p w14:paraId="0000005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спостереження за участю судді у тренінгу; </w:t>
      </w:r>
    </w:p>
    <w:p w14:paraId="0000005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перевірки виконаних практичних завдань (у т.ч. письмових);</w:t>
      </w:r>
    </w:p>
    <w:p w14:paraId="0000005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усного опитування та оцінки виступів під час обговорення навчальних тем;</w:t>
      </w:r>
    </w:p>
    <w:p w14:paraId="0000005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навичок командної роботи.</w:t>
      </w:r>
    </w:p>
    <w:p w14:paraId="0000005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Фіксації підлягають лише ті дії судді, які є релевантними показникам анкети та свідчать про потребу у професійному зростанні.</w:t>
      </w:r>
    </w:p>
    <w:p w14:paraId="00000060"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Заповнення анкети оцінювання.</w:t>
      </w:r>
    </w:p>
    <w:p w14:paraId="0000006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здійснюється шляхом заповнення Анкети оцінювання судді за результатами тренінгу (Додаток 1 до Положення про регулярне оцінювання судді).</w:t>
      </w:r>
    </w:p>
    <w:p w14:paraId="00000062"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Анкета містить перелік показників, за якими:</w:t>
      </w:r>
    </w:p>
    <w:p w14:paraId="00000063"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оцінка не зазначається, якщо рівень компетентності судді є достатнім;</w:t>
      </w:r>
    </w:p>
    <w:p w14:paraId="0000006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зазначається оцінка «рекомендовано удосконалити для професійного зростання», якщо за результатами спостереження виявлено відповідну потребу.</w:t>
      </w:r>
    </w:p>
    <w:p w14:paraId="00000065" w14:textId="77777777" w:rsidR="00D21323" w:rsidRPr="00082F5E" w:rsidRDefault="000F2C83" w:rsidP="00337E49">
      <w:pP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Підстави для зазначення оцінки «рекомендовано удосконалити для професійного зростання».</w:t>
      </w:r>
    </w:p>
    <w:p w14:paraId="00000066" w14:textId="77777777" w:rsidR="00D21323" w:rsidRPr="00082F5E" w:rsidRDefault="000F2C83" w:rsidP="00337E49">
      <w:pPr>
        <w:spacing w:line="240" w:lineRule="auto"/>
        <w:ind w:right="2"/>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Оцінка «рекомендовано удосконалити для професійного зростання» зазначається у разі, якщо викладач (тренер) встановлює, що:</w:t>
      </w:r>
    </w:p>
    <w:p w14:paraId="0000006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суддя виявляє труднощі щодо застосування знань або навичок;</w:t>
      </w:r>
    </w:p>
    <w:p w14:paraId="0000006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існує потреба у поглибленні або вдосконаленні окремих аспектів професійної діяльності.</w:t>
      </w:r>
    </w:p>
    <w:p w14:paraId="00000069"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Вимоги до мотивування оцінки.</w:t>
      </w:r>
    </w:p>
    <w:p w14:paraId="0000006A"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Мотивування оцінки має бути:</w:t>
      </w:r>
    </w:p>
    <w:p w14:paraId="0000006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конкретним — із зазначенням конкретних дій або труднощів;</w:t>
      </w:r>
    </w:p>
    <w:p w14:paraId="0000006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фактичним — ґрунтуватися виключно на спостережуваних проявах;</w:t>
      </w:r>
    </w:p>
    <w:p w14:paraId="0000006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обґрунтованим — із поясненням зв’язку між поведінкою судді та потребою у професійному розвитку;</w:t>
      </w:r>
    </w:p>
    <w:p w14:paraId="0000006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неупередженим — без емоційних або оціночних суджень.</w:t>
      </w:r>
    </w:p>
    <w:p w14:paraId="0000006F"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lastRenderedPageBreak/>
        <w:t>Орієнтири для оцінювання за окремими показниками.</w:t>
      </w:r>
    </w:p>
    <w:p w14:paraId="00000070" w14:textId="0CACB97A"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Орієнтири для оцінювання за показниками, що застосовуються викладачами (тренерами), наведені у цьому Розділі. </w:t>
      </w:r>
      <w:r w:rsidRPr="00082F5E">
        <w:rPr>
          <w:rFonts w:ascii="Times New Roman" w:eastAsia="Times New Roman" w:hAnsi="Times New Roman" w:cs="Times New Roman"/>
          <w:sz w:val="25"/>
          <w:szCs w:val="25"/>
          <w:highlight w:val="white"/>
        </w:rPr>
        <w:t xml:space="preserve">Опис показників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Стійкість мотивації</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Рішучість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Відповідальність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Безперервний розвиток</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Сумлінність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Дотримання етичних норм і бездоганна поведінка” наведено у загальних положеннях Методичних рекомендацій щодо проведення регулярного оцінювання судді.</w:t>
      </w:r>
    </w:p>
    <w:p w14:paraId="00000071"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Оволодіння знаннями.</w:t>
      </w:r>
    </w:p>
    <w:p w14:paraId="00000072"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Оцінюється здатність судді знати, розуміти та коректно відтворювати правові підходи, поняття та концепції, що розглядалися під час тренінгу. </w:t>
      </w:r>
    </w:p>
    <w:p w14:paraId="00000073"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зокрема, на:</w:t>
      </w:r>
    </w:p>
    <w:p w14:paraId="0000007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точність використання термінології;</w:t>
      </w:r>
    </w:p>
    <w:p w14:paraId="0000007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знання послідовності (алгоритмів) для виконання певних дій;</w:t>
      </w:r>
    </w:p>
    <w:p w14:paraId="0000007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розуміння змісту висловленого;</w:t>
      </w:r>
    </w:p>
    <w:p w14:paraId="0000007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пояснити позицію.</w:t>
      </w:r>
    </w:p>
    <w:p w14:paraId="00000078"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Оволодіння вміннями/навичками</w:t>
      </w:r>
    </w:p>
    <w:p w14:paraId="0000007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сформованість практичних умінь/навичок, що відпрацьовувалися під час тренінгу.</w:t>
      </w:r>
    </w:p>
    <w:p w14:paraId="0000007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7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застосовувати знання у практичних завданнях;</w:t>
      </w:r>
    </w:p>
    <w:p w14:paraId="0000007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правильність виконання алгоритмів дій.</w:t>
      </w:r>
    </w:p>
    <w:p w14:paraId="0000007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Акуратність виконання завдання.</w:t>
      </w:r>
    </w:p>
    <w:p w14:paraId="0000007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дотримання умов виконання завдання.</w:t>
      </w:r>
    </w:p>
    <w:p w14:paraId="0000007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8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ретельність виконання завдання;</w:t>
      </w:r>
    </w:p>
    <w:p w14:paraId="0000008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структурованість відповіді;</w:t>
      </w:r>
    </w:p>
    <w:p w14:paraId="0000008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суттєвих помилок, зумовлених недбалим ставленням до виконання завдання.</w:t>
      </w:r>
    </w:p>
    <w:p w14:paraId="0000008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Своєчасність виконання завдання.</w:t>
      </w:r>
    </w:p>
    <w:p w14:paraId="0000008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виконувати навчальні завдання у визначений час без шкоди для якості.</w:t>
      </w:r>
    </w:p>
    <w:p w14:paraId="0000008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8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дотримання регламенту;</w:t>
      </w:r>
    </w:p>
    <w:p w14:paraId="0000008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раціональне використання часу;</w:t>
      </w:r>
    </w:p>
    <w:p w14:paraId="0000008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працювати у заданих часових межах.</w:t>
      </w:r>
    </w:p>
    <w:p w14:paraId="00000089"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b/>
          <w:bCs/>
          <w:sz w:val="25"/>
          <w:szCs w:val="25"/>
        </w:rPr>
        <w:t>Аналітичні здібності</w:t>
      </w:r>
      <w:r w:rsidRPr="00082F5E">
        <w:rPr>
          <w:rFonts w:ascii="Times New Roman" w:eastAsia="Times New Roman" w:hAnsi="Times New Roman" w:cs="Times New Roman"/>
          <w:sz w:val="25"/>
          <w:szCs w:val="25"/>
        </w:rPr>
        <w:t>.</w:t>
      </w:r>
    </w:p>
    <w:p w14:paraId="0000008A"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sz w:val="25"/>
          <w:szCs w:val="25"/>
        </w:rPr>
        <w:t>Оцінюється логічність аналізу, здатність структурувати факти, повнота та аргументованість позиції.</w:t>
      </w:r>
    </w:p>
    <w:p w14:paraId="0000008B"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оцінювати інформацію.</w:t>
      </w:r>
    </w:p>
    <w:p w14:paraId="0000008C"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відокремлювати суттєве від другорядного та робити обґрунтовані висновки.</w:t>
      </w:r>
    </w:p>
    <w:p w14:paraId="0000008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ефективно вести переговори.</w:t>
      </w:r>
    </w:p>
    <w:p w14:paraId="0000008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будувати діалог, досягати взаєморозуміння та аргументовано відстоювати позицію.</w:t>
      </w:r>
    </w:p>
    <w:p w14:paraId="0000008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9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вміння слухати;</w:t>
      </w:r>
    </w:p>
    <w:p w14:paraId="0000009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коректність аргументації;</w:t>
      </w:r>
    </w:p>
    <w:p w14:paraId="0000009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шукати компромісні рішення.</w:t>
      </w:r>
    </w:p>
    <w:p w14:paraId="0000009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результативно працювати в команді.</w:t>
      </w:r>
    </w:p>
    <w:p w14:paraId="0000009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вміння судді взаємодіяти з іншими учасниками навчального процесу.</w:t>
      </w:r>
    </w:p>
    <w:p w14:paraId="0000009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9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lastRenderedPageBreak/>
        <w:t>повага до позицій інших;</w:t>
      </w:r>
    </w:p>
    <w:p w14:paraId="0000009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готовність до співпраці;</w:t>
      </w:r>
    </w:p>
    <w:p w14:paraId="0000009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внесок у спільний результат.</w:t>
      </w:r>
    </w:p>
    <w:p w14:paraId="00000099"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працювати під тиском.</w:t>
      </w:r>
    </w:p>
    <w:p w14:paraId="0000009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поведінка судді в умовах інтенсивного навчання або складних завдань.</w:t>
      </w:r>
    </w:p>
    <w:p w14:paraId="0000009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9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зберігати спокій;</w:t>
      </w:r>
    </w:p>
    <w:p w14:paraId="0000009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контроль емоцій;</w:t>
      </w:r>
    </w:p>
    <w:p w14:paraId="0000009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зосередженість на виконанні завдання.</w:t>
      </w:r>
    </w:p>
    <w:p w14:paraId="0000009F"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Навички складання документів.</w:t>
      </w:r>
    </w:p>
    <w:p w14:paraId="000000A0"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чітко та логічно викладати думки у письмовій формі.</w:t>
      </w:r>
    </w:p>
    <w:p w14:paraId="000000A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A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структуру тексту;</w:t>
      </w:r>
    </w:p>
    <w:p w14:paraId="000000A3"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зрозумілість викладу;</w:t>
      </w:r>
    </w:p>
    <w:p w14:paraId="000000A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аргументованість позиції.</w:t>
      </w:r>
    </w:p>
    <w:p w14:paraId="000000A5"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Навички усного мовлення.</w:t>
      </w:r>
    </w:p>
    <w:p w14:paraId="000000A6"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якість усного викладення позиції під час обговорень та презентацій.</w:t>
      </w:r>
    </w:p>
    <w:p w14:paraId="000000A7"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A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логічність та послідовність мовлення;</w:t>
      </w:r>
    </w:p>
    <w:p w14:paraId="000000A9"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доречність висловлювань;</w:t>
      </w:r>
    </w:p>
    <w:p w14:paraId="000000AA"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чіткість формулювань;</w:t>
      </w:r>
    </w:p>
    <w:p w14:paraId="000000A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переконливість аргументації.</w:t>
      </w:r>
    </w:p>
    <w:p w14:paraId="000000AC"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Ґендерна компетентність.</w:t>
      </w:r>
    </w:p>
    <w:p w14:paraId="000000AD"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враховувати принципи ґендерної рівності та заборони дискримінації за ознакою ґендера.</w:t>
      </w:r>
    </w:p>
    <w:p w14:paraId="000000A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AF"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уміння виявити ґендерні аспекти правовідносин;</w:t>
      </w:r>
    </w:p>
    <w:p w14:paraId="000000B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ґендерні упередження та стереотипи; </w:t>
      </w:r>
    </w:p>
    <w:p w14:paraId="000000B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ґендерно чутливе мовлення.</w:t>
      </w:r>
    </w:p>
    <w:p w14:paraId="000000B2"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Незалежність.</w:t>
      </w:r>
    </w:p>
    <w:p w14:paraId="000000B3"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не піддаватися впливу та відстоювати власну позицію.</w:t>
      </w:r>
    </w:p>
    <w:p w14:paraId="000000B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B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стійкість позиції за наявності альтернативних думок;</w:t>
      </w:r>
    </w:p>
    <w:p w14:paraId="000000B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конформізму.</w:t>
      </w:r>
    </w:p>
    <w:p w14:paraId="000000B7"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Чесність.</w:t>
      </w:r>
    </w:p>
    <w:p w14:paraId="000000B8"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добросовісність участі судді у навчальному процесі.</w:t>
      </w:r>
    </w:p>
    <w:p w14:paraId="000000B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BA"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самостійність виконання завдань;</w:t>
      </w:r>
    </w:p>
    <w:p w14:paraId="000000B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відкритість у визнанні труднощів;</w:t>
      </w:r>
    </w:p>
    <w:p w14:paraId="000000B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коректність поведінки.</w:t>
      </w:r>
    </w:p>
    <w:p w14:paraId="000000B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Неупередженість.</w:t>
      </w:r>
    </w:p>
    <w:p w14:paraId="000000B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зберігати нейтральність під час аналізу кейсів та дискусій.</w:t>
      </w:r>
    </w:p>
    <w:p w14:paraId="000000B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C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рівне ставлення до різних позицій;</w:t>
      </w:r>
    </w:p>
    <w:p w14:paraId="000000C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об’єктивність суджень;</w:t>
      </w:r>
    </w:p>
    <w:p w14:paraId="000000C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упереджених висловлювань.</w:t>
      </w:r>
    </w:p>
    <w:p w14:paraId="000000C3" w14:textId="77777777" w:rsidR="00D21323" w:rsidRPr="00082F5E" w:rsidRDefault="000F2C83" w:rsidP="00337E49">
      <w:pP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Формування рекомендацій для професійного розвитку судді.</w:t>
      </w:r>
    </w:p>
    <w:p w14:paraId="000000C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lastRenderedPageBreak/>
        <w:t>У відповідній частині анкети викладач (тренер) формує рекомендації, які можуть містити:</w:t>
      </w:r>
    </w:p>
    <w:p w14:paraId="000000C5"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напрями самовдосконалення;</w:t>
      </w:r>
    </w:p>
    <w:p w14:paraId="000000C6"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теми для додаткового навчання;</w:t>
      </w:r>
    </w:p>
    <w:p w14:paraId="000000C7"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рекомендації щодо участі у тренінгах, семінарах-практикумах, дистанційних курсах;</w:t>
      </w:r>
    </w:p>
    <w:p w14:paraId="000000C8"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пропозиції щодо опрацювання судової практики або наукових джерел.</w:t>
      </w:r>
    </w:p>
    <w:p w14:paraId="000000C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Рекомендації мають бути релевантними виявленим потребам, реалістичними та такими, що можуть бути реалізовані суддею.</w:t>
      </w:r>
    </w:p>
    <w:p w14:paraId="000000CA"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Робота із запереченнями судді.</w:t>
      </w:r>
    </w:p>
    <w:p w14:paraId="000000C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Суддя має право подати письмові заперечення до анкети протягом 10 днів.</w:t>
      </w:r>
    </w:p>
    <w:p w14:paraId="000000CC"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Викладач (тренер) зобов’язаний розглянути подані заперечення та:</w:t>
      </w:r>
    </w:p>
    <w:p w14:paraId="000000CD"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або скласти нову анкету з урахуванням позиції судді;</w:t>
      </w:r>
    </w:p>
    <w:p w14:paraId="000000CE"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або надати вмотивовану відмову.</w:t>
      </w:r>
    </w:p>
    <w:p w14:paraId="000000CF"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Остаточна анкета повторному оскарженню не підлягає.</w:t>
      </w:r>
    </w:p>
    <w:p w14:paraId="000000D0"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Типові помилки та способи їх уникнення.</w:t>
      </w:r>
    </w:p>
    <w:p w14:paraId="000000D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b/>
          <w:bCs/>
          <w:sz w:val="25"/>
          <w:szCs w:val="25"/>
        </w:rPr>
        <w:t>Типові помилки:</w:t>
      </w:r>
    </w:p>
    <w:p w14:paraId="000000D2"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надмірно загальні формулювання рекомендацій;</w:t>
      </w:r>
    </w:p>
    <w:p w14:paraId="000000D3"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порівняння судді з іншими учасниками навчального заходу;</w:t>
      </w:r>
    </w:p>
    <w:p w14:paraId="1F707E2B" w14:textId="53C4924D" w:rsidR="00082F5E" w:rsidRPr="00082F5E" w:rsidRDefault="00082F5E"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припущення, що виходять за межі навчального контексту</w:t>
      </w:r>
      <w:r>
        <w:rPr>
          <w:rFonts w:ascii="Times New Roman" w:eastAsia="Times New Roman" w:hAnsi="Times New Roman" w:cs="Times New Roman"/>
          <w:sz w:val="25"/>
          <w:szCs w:val="25"/>
          <w:lang w:val="uk-UA"/>
        </w:rPr>
        <w:t>;</w:t>
      </w:r>
    </w:p>
    <w:p w14:paraId="372D6D96" w14:textId="2C22BD74" w:rsidR="00082F5E" w:rsidRPr="00082F5E" w:rsidRDefault="00082F5E"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формальне дублювання змісту показників без фактичного наповнення</w:t>
      </w:r>
      <w:r>
        <w:rPr>
          <w:rFonts w:ascii="Times New Roman" w:eastAsia="Times New Roman" w:hAnsi="Times New Roman" w:cs="Times New Roman"/>
          <w:sz w:val="25"/>
          <w:szCs w:val="25"/>
          <w:lang w:val="uk-UA"/>
        </w:rPr>
        <w:t>.</w:t>
      </w:r>
    </w:p>
    <w:p w14:paraId="7A3DAB2C" w14:textId="77777777" w:rsidR="00BA1C35" w:rsidRDefault="000F2C83" w:rsidP="00BA1C35">
      <w:pPr>
        <w:spacing w:before="240" w:line="240" w:lineRule="auto"/>
        <w:ind w:left="705" w:right="2"/>
        <w:jc w:val="center"/>
        <w:rPr>
          <w:rFonts w:ascii="Times New Roman" w:eastAsia="Times New Roman" w:hAnsi="Times New Roman" w:cs="Times New Roman"/>
          <w:b/>
          <w:bCs/>
          <w:sz w:val="26"/>
          <w:szCs w:val="26"/>
          <w:highlight w:val="white"/>
          <w:lang w:val="uk-UA"/>
        </w:rPr>
      </w:pPr>
      <w:bookmarkStart w:id="3" w:name="_heading=h.1kiz0fcn7ae2" w:colFirst="0" w:colLast="0"/>
      <w:bookmarkEnd w:id="3"/>
      <w:r w:rsidRPr="00BA1C35">
        <w:rPr>
          <w:rFonts w:ascii="Times New Roman" w:eastAsia="Times New Roman" w:hAnsi="Times New Roman" w:cs="Times New Roman"/>
          <w:b/>
          <w:bCs/>
          <w:sz w:val="26"/>
          <w:szCs w:val="26"/>
          <w:highlight w:val="white"/>
        </w:rPr>
        <w:t>Розділ 3. Методи</w:t>
      </w:r>
      <w:r w:rsidR="00BA1C35">
        <w:rPr>
          <w:rFonts w:ascii="Times New Roman" w:eastAsia="Times New Roman" w:hAnsi="Times New Roman" w:cs="Times New Roman"/>
          <w:b/>
          <w:bCs/>
          <w:sz w:val="26"/>
          <w:szCs w:val="26"/>
          <w:highlight w:val="white"/>
        </w:rPr>
        <w:t>чні рекомендації для проведення</w:t>
      </w:r>
    </w:p>
    <w:p w14:paraId="000000D8" w14:textId="2ADCB637" w:rsidR="00D21323" w:rsidRPr="00BA1C35" w:rsidRDefault="000F2C83" w:rsidP="00BA1C35">
      <w:pPr>
        <w:spacing w:after="240" w:line="240" w:lineRule="auto"/>
        <w:ind w:left="705" w:right="2"/>
        <w:jc w:val="center"/>
        <w:rPr>
          <w:rFonts w:ascii="Times New Roman" w:eastAsia="Times New Roman" w:hAnsi="Times New Roman" w:cs="Times New Roman"/>
          <w:b/>
          <w:bCs/>
          <w:sz w:val="26"/>
          <w:szCs w:val="26"/>
          <w:highlight w:val="white"/>
        </w:rPr>
      </w:pPr>
      <w:r w:rsidRPr="00BA1C35">
        <w:rPr>
          <w:rFonts w:ascii="Times New Roman" w:eastAsia="Times New Roman" w:hAnsi="Times New Roman" w:cs="Times New Roman"/>
          <w:b/>
          <w:bCs/>
          <w:sz w:val="26"/>
          <w:szCs w:val="26"/>
          <w:highlight w:val="white"/>
        </w:rPr>
        <w:t>оцінювання судді іншими суддями</w:t>
      </w:r>
    </w:p>
    <w:p w14:paraId="000000D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Ці методичні рекомендації розроблені для суддів-колег, які залучаються до процесу регулярного оцінювання судді іншим суддею.</w:t>
      </w:r>
    </w:p>
    <w:p w14:paraId="000000D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При проведенні оцінювання судді іншим суддею дані отримуються методом спостереження та аналізу інформації з метою надання рекомендацій для професійного зростання судді того ж суду.</w:t>
      </w:r>
    </w:p>
    <w:p w14:paraId="000000DC"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оцінювання судді іншим суддею.</w:t>
      </w:r>
    </w:p>
    <w:p w14:paraId="000000D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Об'єктом оцінювання є професійна діяльність, особистісні якості та відповідність судді критеріям професійної етики. </w:t>
      </w:r>
    </w:p>
    <w:p w14:paraId="000000D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Оцінювання не може бути суб'єктивною критикою судді, а має бути систематизованою, обґрунтованою, об’єктивною, мотивованою оцінкою.</w:t>
      </w:r>
    </w:p>
    <w:p w14:paraId="000000DF"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оцінювання та його повноваження.</w:t>
      </w:r>
    </w:p>
    <w:p w14:paraId="000000E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Суб'єктом оцінювання є судді того ж суду, які надають об’єктивні рекомендації щодо професійної та етичної поведінки об'єкта, засновані на особистому досвіді взаємодії та методі спостереження.</w:t>
      </w:r>
    </w:p>
    <w:p w14:paraId="000000E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 спостереження виступає у ролі верифікатора фактів, відповідального за систематичний та об'єктивний аналіз первинної інформації щодо діяльності Об'єкта.</w:t>
      </w:r>
    </w:p>
    <w:p w14:paraId="000000E2"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Методологія аналізу інформації (структуроване спостереження).</w:t>
      </w:r>
    </w:p>
    <w:p w14:paraId="000000E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Методом отримання інформації для цього виду оцінювання є спостереження за поведінкою судді під час здійснення ним своїх повноважень.</w:t>
      </w:r>
    </w:p>
    <w:p w14:paraId="000000E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Метод спостереження передбачає планомірну фіксацію поведінки та діяльності Об'єкта відповідно до визначених індикаторів Анкети оцінювання судді іншим суддею (Додаток 2 до Положення про регулярне оцінювання судді).</w:t>
      </w:r>
    </w:p>
    <w:p w14:paraId="000000E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 xml:space="preserve">Оціночні судження у рекомендації мають бути виключені. Рекомендації мають бути з посиланням на конкретні факти, події або документи та такими, що </w:t>
      </w:r>
      <w:r w:rsidRPr="00586989">
        <w:rPr>
          <w:rFonts w:ascii="Times New Roman" w:eastAsia="Times New Roman" w:hAnsi="Times New Roman" w:cs="Times New Roman"/>
          <w:b/>
          <w:bCs/>
          <w:sz w:val="25"/>
          <w:szCs w:val="25"/>
          <w:highlight w:val="white"/>
        </w:rPr>
        <w:t>можуть бути виконані або взяті до уваги</w:t>
      </w:r>
      <w:r w:rsidRPr="00586989">
        <w:rPr>
          <w:rFonts w:ascii="Times New Roman" w:eastAsia="Times New Roman" w:hAnsi="Times New Roman" w:cs="Times New Roman"/>
          <w:sz w:val="25"/>
          <w:szCs w:val="25"/>
          <w:highlight w:val="white"/>
        </w:rPr>
        <w:t xml:space="preserve"> об’єктом оцінювання.</w:t>
      </w:r>
    </w:p>
    <w:p w14:paraId="000000E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застосування методу спостереження під час оцінювання судді іншим суддею:</w:t>
      </w:r>
    </w:p>
    <w:p w14:paraId="000000E7"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Спрямованість спостереження:</w:t>
      </w:r>
    </w:p>
    <w:p w14:paraId="000000E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Процесуальна поведінка:</w:t>
      </w:r>
      <w:r w:rsidRPr="00586989">
        <w:rPr>
          <w:rFonts w:ascii="Times New Roman" w:eastAsia="Times New Roman" w:hAnsi="Times New Roman" w:cs="Times New Roman"/>
          <w:sz w:val="25"/>
          <w:szCs w:val="25"/>
          <w:highlight w:val="white"/>
        </w:rPr>
        <w:t xml:space="preserve"> якість підготовки до судових засідань, дотримання регламенту, забезпечення рівності сторін, вміння керувати процесом.</w:t>
      </w:r>
    </w:p>
    <w:p w14:paraId="000000E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Етична поведінка:</w:t>
      </w:r>
      <w:r w:rsidRPr="00586989">
        <w:rPr>
          <w:rFonts w:ascii="Times New Roman" w:eastAsia="Times New Roman" w:hAnsi="Times New Roman" w:cs="Times New Roman"/>
          <w:sz w:val="25"/>
          <w:szCs w:val="25"/>
          <w:highlight w:val="white"/>
        </w:rPr>
        <w:t xml:space="preserve"> культура спілкування з учасниками процесу, колегами та працівниками апарату, толерантність, витримка.</w:t>
      </w:r>
    </w:p>
    <w:p w14:paraId="000000EA"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b/>
          <w:bCs/>
          <w:sz w:val="25"/>
          <w:szCs w:val="25"/>
          <w:highlight w:val="white"/>
        </w:rPr>
        <w:t>Організаційна діяльність:</w:t>
      </w:r>
      <w:r w:rsidRPr="00586989">
        <w:rPr>
          <w:rFonts w:ascii="Times New Roman" w:eastAsia="Times New Roman" w:hAnsi="Times New Roman" w:cs="Times New Roman"/>
          <w:sz w:val="25"/>
          <w:szCs w:val="25"/>
          <w:highlight w:val="white"/>
        </w:rPr>
        <w:t xml:space="preserve"> дисциплінованість, дотримання внутрішнього розпорядку, внесок у роботу колективу суду.</w:t>
      </w:r>
    </w:p>
    <w:p w14:paraId="0B49B0A1" w14:textId="77777777" w:rsidR="00BA1C35" w:rsidRDefault="000F2C83" w:rsidP="00BA1C35">
      <w:pPr>
        <w:spacing w:before="240"/>
        <w:ind w:right="2" w:firstLine="705"/>
        <w:jc w:val="center"/>
        <w:rPr>
          <w:rFonts w:ascii="Times New Roman" w:eastAsia="Times New Roman" w:hAnsi="Times New Roman" w:cs="Times New Roman"/>
          <w:b/>
          <w:bCs/>
          <w:sz w:val="26"/>
          <w:szCs w:val="26"/>
          <w:highlight w:val="white"/>
          <w:lang w:val="uk-UA"/>
        </w:rPr>
      </w:pPr>
      <w:r w:rsidRPr="00620894">
        <w:rPr>
          <w:rFonts w:ascii="Times New Roman" w:eastAsia="Times New Roman" w:hAnsi="Times New Roman" w:cs="Times New Roman"/>
          <w:b/>
          <w:bCs/>
          <w:sz w:val="26"/>
          <w:szCs w:val="26"/>
          <w:highlight w:val="white"/>
        </w:rPr>
        <w:t>Розділ 4. Методичні рекомендації для п</w:t>
      </w:r>
      <w:r w:rsidR="00BA1C35">
        <w:rPr>
          <w:rFonts w:ascii="Times New Roman" w:eastAsia="Times New Roman" w:hAnsi="Times New Roman" w:cs="Times New Roman"/>
          <w:b/>
          <w:bCs/>
          <w:sz w:val="26"/>
          <w:szCs w:val="26"/>
          <w:highlight w:val="white"/>
        </w:rPr>
        <w:t>роведення</w:t>
      </w:r>
    </w:p>
    <w:p w14:paraId="000000EE" w14:textId="2509BFD8" w:rsidR="00D21323" w:rsidRPr="00620894" w:rsidRDefault="000F2C83" w:rsidP="00BA1C35">
      <w:pPr>
        <w:spacing w:after="240"/>
        <w:ind w:right="2" w:firstLine="705"/>
        <w:jc w:val="center"/>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самооцінювання судді</w:t>
      </w:r>
    </w:p>
    <w:p w14:paraId="000000F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Метою рекомендацій є забезпечення правильності заповнення анкети, достовірності, об’єктивності та репрезентативності даних, які мають бути відображені. </w:t>
      </w:r>
    </w:p>
    <w:p w14:paraId="000000F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Відомості отримуються методом самоаналізу суддею своєї професійної діяльності з метою створення рекомендацій для самовдосконалення та їх подальшого використання.</w:t>
      </w:r>
    </w:p>
    <w:p w14:paraId="000000F2" w14:textId="77777777" w:rsidR="00D21323" w:rsidRPr="00586989" w:rsidRDefault="000F2C83" w:rsidP="00337E49">
      <w:pPr>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Самооцінювання базується на методі самостійного аналізу – системному та ґрунтовному вивченні суддею власного досвіду, результатів роботи, рішень та поведінки, співставляючи їх із встановленими критеріями (показниками). При проведенні самоаналізу суддя має прагнути до максимальної об'єктивності, фіксуючи як досягнення, так і проблемні аспекти, які потребують вдосконалення.</w:t>
      </w:r>
    </w:p>
    <w:p w14:paraId="000000F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самооцінювання судді.</w:t>
      </w:r>
    </w:p>
    <w:p w14:paraId="000000F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Об'єктом оцінювання є власна професійна діяльність, особистісні якості та відповідність судді критеріям професійної етики.</w:t>
      </w:r>
    </w:p>
    <w:p w14:paraId="000000F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Метод отримання інформації</w:t>
      </w:r>
      <w:r w:rsidRPr="00586989">
        <w:rPr>
          <w:rFonts w:ascii="Times New Roman" w:eastAsia="Times New Roman" w:hAnsi="Times New Roman" w:cs="Times New Roman"/>
          <w:sz w:val="25"/>
          <w:szCs w:val="25"/>
          <w:highlight w:val="white"/>
        </w:rPr>
        <w:t xml:space="preserve"> для цього виду оцінювання – самоспостереження. </w:t>
      </w:r>
    </w:p>
    <w:p w14:paraId="000000F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sz w:val="25"/>
          <w:szCs w:val="25"/>
          <w:highlight w:val="white"/>
        </w:rPr>
        <w:t>Самооцінювання судді проводиться шляхом заповнення Анкети (Додаток 3 до Положення про регулярне оцінювання судді).</w:t>
      </w:r>
      <w:r w:rsidRPr="00586989">
        <w:rPr>
          <w:rFonts w:ascii="Times New Roman" w:eastAsia="Times New Roman" w:hAnsi="Times New Roman" w:cs="Times New Roman"/>
          <w:b/>
          <w:bCs/>
          <w:sz w:val="25"/>
          <w:szCs w:val="25"/>
          <w:highlight w:val="white"/>
        </w:rPr>
        <w:t xml:space="preserve"> </w:t>
      </w:r>
    </w:p>
    <w:p w14:paraId="000000F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Критерії самооцінювання судді та критеріальна база.</w:t>
      </w:r>
    </w:p>
    <w:p w14:paraId="000000F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Вміння вести судовий процес з належною оперативністю та здатністю контролювати хід процесу.</w:t>
      </w:r>
      <w:r w:rsidRPr="00586989">
        <w:rPr>
          <w:rFonts w:ascii="Times New Roman" w:eastAsia="Times New Roman" w:hAnsi="Times New Roman" w:cs="Times New Roman"/>
          <w:sz w:val="25"/>
          <w:szCs w:val="25"/>
          <w:highlight w:val="white"/>
        </w:rPr>
        <w:t xml:space="preserve"> </w:t>
      </w:r>
    </w:p>
    <w:p w14:paraId="000000F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відображає організаційну компетентність судді та його здатність ефективно управляти часом і процесом.</w:t>
      </w:r>
    </w:p>
    <w:p w14:paraId="000000F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0F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Оперативність:</w:t>
      </w:r>
      <w:r w:rsidRPr="00586989">
        <w:rPr>
          <w:rFonts w:ascii="Times New Roman" w:eastAsia="Times New Roman" w:hAnsi="Times New Roman" w:cs="Times New Roman"/>
          <w:sz w:val="25"/>
          <w:szCs w:val="25"/>
          <w:highlight w:val="white"/>
        </w:rPr>
        <w:t xml:space="preserve"> аналіз показників дотримання усіх процесуальних строків. Визначення причин невчасного розгляду справ.</w:t>
      </w:r>
    </w:p>
    <w:p w14:paraId="000000FC"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Контроль процесу:</w:t>
      </w:r>
      <w:r w:rsidRPr="00586989">
        <w:rPr>
          <w:rFonts w:ascii="Times New Roman" w:eastAsia="Times New Roman" w:hAnsi="Times New Roman" w:cs="Times New Roman"/>
          <w:sz w:val="25"/>
          <w:szCs w:val="25"/>
          <w:highlight w:val="white"/>
        </w:rPr>
        <w:t xml:space="preserve"> оцінка здатності запобігати зловживанню процесуальними правами учасниками судового розгляду, ефективне застосування процесуальних заходів реагування та впливу.</w:t>
      </w:r>
    </w:p>
    <w:p w14:paraId="000000F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Підготовка:</w:t>
      </w:r>
      <w:r w:rsidRPr="00586989">
        <w:rPr>
          <w:rFonts w:ascii="Times New Roman" w:eastAsia="Times New Roman" w:hAnsi="Times New Roman" w:cs="Times New Roman"/>
          <w:sz w:val="25"/>
          <w:szCs w:val="25"/>
          <w:highlight w:val="white"/>
        </w:rPr>
        <w:t xml:space="preserve"> самооцінка якості підготовки справи/провадження до судового розгляду.</w:t>
      </w:r>
    </w:p>
    <w:p w14:paraId="000000F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кількість скасованих/змінених судових рішень; підстави скасування/зміни; причини порушення строків; наявність обґрунтованих скарг.</w:t>
      </w:r>
    </w:p>
    <w:p w14:paraId="000000FF"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lastRenderedPageBreak/>
        <w:t>Вміння та навички складання процесуальних документів.</w:t>
      </w:r>
    </w:p>
    <w:p w14:paraId="0000010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професійну компетентність судді у сфері правозастосування та юридичної аргументації.</w:t>
      </w:r>
    </w:p>
    <w:p w14:paraId="0000010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102"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Якість рішень:</w:t>
      </w:r>
      <w:r w:rsidRPr="00586989">
        <w:rPr>
          <w:rFonts w:ascii="Times New Roman" w:eastAsia="Times New Roman" w:hAnsi="Times New Roman" w:cs="Times New Roman"/>
          <w:sz w:val="25"/>
          <w:szCs w:val="25"/>
          <w:highlight w:val="white"/>
        </w:rPr>
        <w:t xml:space="preserve"> аналіз власних судових рішень (вибірково): їхня повнота, законність, обґрунтованість та послідовність (відсутність суперечливої практики).</w:t>
      </w:r>
    </w:p>
    <w:p w14:paraId="0000010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Структура та мова:</w:t>
      </w:r>
      <w:r w:rsidRPr="00586989">
        <w:rPr>
          <w:rFonts w:ascii="Times New Roman" w:eastAsia="Times New Roman" w:hAnsi="Times New Roman" w:cs="Times New Roman"/>
          <w:sz w:val="25"/>
          <w:szCs w:val="25"/>
          <w:highlight w:val="white"/>
        </w:rPr>
        <w:t xml:space="preserve"> оцінка чіткості, логічності, стислості та грамотності викладення тексту, уникнення надмірного та нерелевантного цитування норм права, рішень ЄСПЛ.</w:t>
      </w:r>
    </w:p>
    <w:p w14:paraId="0000010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Мотивування: </w:t>
      </w:r>
      <w:r w:rsidRPr="00586989">
        <w:rPr>
          <w:rFonts w:ascii="Times New Roman" w:eastAsia="Times New Roman" w:hAnsi="Times New Roman" w:cs="Times New Roman"/>
          <w:sz w:val="25"/>
          <w:szCs w:val="25"/>
          <w:highlight w:val="white"/>
        </w:rPr>
        <w:t>самооцінка глибини мотивування, зокрема, якості спростування/прийняття доводів сторін та посилання на релевантну судову практику.</w:t>
      </w:r>
    </w:p>
    <w:p w14:paraId="0000010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відсоток скасованих/змінених рішень та підстави скасування; наявність дисциплінарних проваджень.</w:t>
      </w:r>
    </w:p>
    <w:p w14:paraId="0000010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Вміння та навички планування робочого часу.</w:t>
      </w:r>
    </w:p>
    <w:p w14:paraId="0000010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здатність судді раціонально розподіляти робочий час між розглядом справ, підготовкою документів, адміністративною роботою та професійним навчанням, забезпечуючи високу продуктивність без шкоди для якості судових рішень.</w:t>
      </w:r>
    </w:p>
    <w:p w14:paraId="0000010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10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Пріоритизація:</w:t>
      </w:r>
      <w:r w:rsidRPr="00586989">
        <w:rPr>
          <w:rFonts w:ascii="Times New Roman" w:eastAsia="Times New Roman" w:hAnsi="Times New Roman" w:cs="Times New Roman"/>
          <w:sz w:val="25"/>
          <w:szCs w:val="25"/>
          <w:highlight w:val="white"/>
        </w:rPr>
        <w:t xml:space="preserve"> самооцінка навичок встановлення пріоритетів у роботі з різними категоріями справ (терміновість, складність, стадія розгляду). Аналіз того, чи використовує суддя інструменти управління часом (планери, календарі, електронні системи, таймінг тощо) для оптимізації процесу (графіку).</w:t>
      </w:r>
    </w:p>
    <w:p w14:paraId="0000010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Розподіл навантаження:</w:t>
      </w:r>
      <w:r w:rsidRPr="00586989">
        <w:rPr>
          <w:rFonts w:ascii="Times New Roman" w:eastAsia="Times New Roman" w:hAnsi="Times New Roman" w:cs="Times New Roman"/>
          <w:sz w:val="25"/>
          <w:szCs w:val="25"/>
          <w:highlight w:val="white"/>
        </w:rPr>
        <w:t xml:space="preserve"> аналіз ефективності розподілу робочого часу між основними функціями:</w:t>
      </w:r>
    </w:p>
    <w:p w14:paraId="0000010B"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розгляд справ у судових засіданнях;</w:t>
      </w:r>
    </w:p>
    <w:p w14:paraId="0000010C"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виготовлення процесуальних документів;</w:t>
      </w:r>
    </w:p>
    <w:p w14:paraId="0000010D"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виконання адміністративних повноважень;</w:t>
      </w:r>
    </w:p>
    <w:p w14:paraId="0000010E"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професійне навчання та самоосвіта;</w:t>
      </w:r>
    </w:p>
    <w:p w14:paraId="0000010F"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забезпечення контролю виконання своїх обов’язків секретарем судового засідання та помічником.</w:t>
      </w:r>
    </w:p>
    <w:p w14:paraId="0000011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Делегування та співпраця:</w:t>
      </w:r>
      <w:r w:rsidRPr="00586989">
        <w:rPr>
          <w:rFonts w:ascii="Times New Roman" w:eastAsia="Times New Roman" w:hAnsi="Times New Roman" w:cs="Times New Roman"/>
          <w:sz w:val="25"/>
          <w:szCs w:val="25"/>
          <w:highlight w:val="white"/>
        </w:rPr>
        <w:t xml:space="preserve"> оцінка ефективності делегування завдань помічникам та секретарям судового засідання та якості взаємодії з ними для синхронізації робочих процесів.</w:t>
      </w:r>
    </w:p>
    <w:p w14:paraId="0000011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дотримання встановлених процесуальних строків; відсутність великої кількості невиготовлених документів; обґрунтовані скарги учасників судового процесу щодо невчасності отримання судових рішень. Ефективна комунікація помічника та секретаря судового засідання з учасниками судового процесу, відвідувачами суду, колективом суду.</w:t>
      </w:r>
    </w:p>
    <w:p w14:paraId="00000112"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Дисциплінованість.</w:t>
      </w:r>
    </w:p>
    <w:p w14:paraId="0000011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відображає особисту та організаційну компетентність судді.</w:t>
      </w:r>
    </w:p>
    <w:p w14:paraId="00000114"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Зміст самоспостереження:</w:t>
      </w:r>
    </w:p>
    <w:p w14:paraId="00000115"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Виконавча дисципліна: </w:t>
      </w:r>
      <w:r w:rsidRPr="00586989">
        <w:rPr>
          <w:rFonts w:ascii="Times New Roman" w:eastAsia="Times New Roman" w:hAnsi="Times New Roman" w:cs="Times New Roman"/>
          <w:sz w:val="25"/>
          <w:szCs w:val="25"/>
          <w:highlight w:val="white"/>
        </w:rPr>
        <w:t>аналіз дотримання внутрішнього розпорядку суду, графіків чергувань, своєчасність складання та подання звітів і статистичних даних.</w:t>
      </w:r>
    </w:p>
    <w:p w14:paraId="00000116"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Трудова дисципліна: </w:t>
      </w:r>
      <w:r w:rsidRPr="00586989">
        <w:rPr>
          <w:rFonts w:ascii="Times New Roman" w:eastAsia="Times New Roman" w:hAnsi="Times New Roman" w:cs="Times New Roman"/>
          <w:sz w:val="25"/>
          <w:szCs w:val="25"/>
          <w:highlight w:val="white"/>
        </w:rPr>
        <w:t>аналіз дотримання робочого часу, відсутність безпідставних запізнень, використання робочого часу для виконання професійних обов'язків.</w:t>
      </w:r>
    </w:p>
    <w:p w14:paraId="00000117"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Співпраця: </w:t>
      </w:r>
      <w:r w:rsidRPr="00586989">
        <w:rPr>
          <w:rFonts w:ascii="Times New Roman" w:eastAsia="Times New Roman" w:hAnsi="Times New Roman" w:cs="Times New Roman"/>
          <w:sz w:val="25"/>
          <w:szCs w:val="25"/>
          <w:highlight w:val="white"/>
        </w:rPr>
        <w:t>оцінка власної участі у роботі зборів суддів та органів суддівського самоврядування.</w:t>
      </w:r>
    </w:p>
    <w:p w14:paraId="00000118"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lastRenderedPageBreak/>
        <w:t xml:space="preserve">Індикатори: </w:t>
      </w:r>
      <w:r w:rsidRPr="00586989">
        <w:rPr>
          <w:rFonts w:ascii="Times New Roman" w:eastAsia="Times New Roman" w:hAnsi="Times New Roman" w:cs="Times New Roman"/>
          <w:sz w:val="25"/>
          <w:szCs w:val="25"/>
          <w:highlight w:val="white"/>
        </w:rPr>
        <w:t>кількість накладених дисциплінарних стягнень (якщо є); внутрішні показники суду щодо дотримання розпорядку.</w:t>
      </w:r>
    </w:p>
    <w:p w14:paraId="00000119" w14:textId="3DF08EC3"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Опис показників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Ефективна комунікація</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Ефективна взаємодія</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Емоційна стійкість</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Безперервний розвиток</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наведено у загальних положеннях Методичних рекомендацій щодо проведення регулярного оцінювання судді.</w:t>
      </w:r>
    </w:p>
    <w:p w14:paraId="0000011A"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Дотримання етичних норм.</w:t>
      </w:r>
    </w:p>
    <w:p w14:paraId="0000011B"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Завдання судді, який оцінює себе, полягає у об'єктивній оцінці дотримання ним етичних норм, прагненні до бездоганної поведінки у професійній діяльності та особистому житті.</w:t>
      </w:r>
    </w:p>
    <w:p w14:paraId="0000011C" w14:textId="77777777" w:rsidR="00D21323" w:rsidRPr="00586989" w:rsidRDefault="000F2C83" w:rsidP="00337E49">
      <w:pPr>
        <w:shd w:val="clear" w:color="auto" w:fill="FFFFFF"/>
        <w:spacing w:line="259" w:lineRule="auto"/>
        <w:ind w:right="2" w:firstLine="705"/>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Запобігання корупції (конфлікт інтересів).</w:t>
      </w:r>
    </w:p>
    <w:p w14:paraId="0000011D" w14:textId="77777777" w:rsidR="00D21323" w:rsidRPr="00586989" w:rsidRDefault="000F2C83" w:rsidP="00337E49">
      <w:pPr>
        <w:shd w:val="clear" w:color="auto" w:fill="FFFFFF"/>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доброчесність судді та його здатність дотримуватися приписів антикорупційного законодавства.</w:t>
      </w:r>
    </w:p>
    <w:p w14:paraId="0000011E" w14:textId="77777777" w:rsidR="00D21323" w:rsidRPr="00586989" w:rsidRDefault="000F2C83" w:rsidP="00337E49">
      <w:pPr>
        <w:shd w:val="clear" w:color="auto" w:fill="FFFFFF"/>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Зміст самоспостереження:</w:t>
      </w:r>
    </w:p>
    <w:p w14:paraId="0000011F"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Конфлікт інтересів: </w:t>
      </w:r>
      <w:r w:rsidRPr="00586989">
        <w:rPr>
          <w:rFonts w:ascii="Times New Roman" w:eastAsia="Times New Roman" w:hAnsi="Times New Roman" w:cs="Times New Roman"/>
          <w:sz w:val="25"/>
          <w:szCs w:val="25"/>
          <w:highlight w:val="white"/>
        </w:rPr>
        <w:t xml:space="preserve">аналіз власної діяльності щодо запобігання та врегулювання реального чи потенційного конфлікту інтересів. </w:t>
      </w:r>
    </w:p>
    <w:p w14:paraId="00000120"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Декларування: </w:t>
      </w:r>
      <w:r w:rsidRPr="00586989">
        <w:rPr>
          <w:rFonts w:ascii="Times New Roman" w:eastAsia="Times New Roman" w:hAnsi="Times New Roman" w:cs="Times New Roman"/>
          <w:sz w:val="25"/>
          <w:szCs w:val="25"/>
          <w:highlight w:val="white"/>
        </w:rPr>
        <w:t>перевірка повноти, своєчасності та достовірності поданих електронних декларацій, правильності даних, належне користування доступними інструментами отримання інформації про майно, майновий стан декларанта та членів його родини.</w:t>
      </w:r>
    </w:p>
    <w:p w14:paraId="00000121"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Обмеження: </w:t>
      </w:r>
      <w:r w:rsidRPr="00586989">
        <w:rPr>
          <w:rFonts w:ascii="Times New Roman" w:eastAsia="Times New Roman" w:hAnsi="Times New Roman" w:cs="Times New Roman"/>
          <w:sz w:val="25"/>
          <w:szCs w:val="25"/>
          <w:highlight w:val="white"/>
        </w:rPr>
        <w:t>самоконтроль щодо дотримання законодавчих обмежень щодо подарунків, сумісництва та інших регламентованих обмежень.</w:t>
      </w:r>
    </w:p>
    <w:p w14:paraId="00000122"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 xml:space="preserve">Індикатори: </w:t>
      </w:r>
      <w:r w:rsidRPr="00586989">
        <w:rPr>
          <w:rFonts w:ascii="Times New Roman" w:eastAsia="Times New Roman" w:hAnsi="Times New Roman" w:cs="Times New Roman"/>
          <w:sz w:val="25"/>
          <w:szCs w:val="25"/>
          <w:highlight w:val="white"/>
        </w:rPr>
        <w:t>наявність звернень від компетентних органів у цій сфері (НАЗК, НАБУ та інших); фактичні порушення процедури самовідводу.</w:t>
      </w:r>
    </w:p>
    <w:p w14:paraId="0000012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самооцінювання та його повноваження.</w:t>
      </w:r>
    </w:p>
    <w:p w14:paraId="0000012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Суб'єктом оцінювання є судді, які надають об’єктивні рекомендації щодо власної професійної та етичної поведінки, засновані на особистому досвіді та методі самоспостереження.</w:t>
      </w:r>
    </w:p>
    <w:p w14:paraId="0000012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 спостереження виступає як первинне та єдине джерело оцінки своєї діяльності, відповідальне за систематичний та об'єктивний аналіз інформації щодо власної діяльності.</w:t>
      </w:r>
    </w:p>
    <w:p w14:paraId="00000126"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При наданні інформації Суб’єкту необхідно дотримуватися принципів:</w:t>
      </w:r>
    </w:p>
    <w:p w14:paraId="0000012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Об'єктивність:</w:t>
      </w:r>
      <w:r w:rsidRPr="00586989">
        <w:rPr>
          <w:rFonts w:ascii="Times New Roman" w:eastAsia="Times New Roman" w:hAnsi="Times New Roman" w:cs="Times New Roman"/>
          <w:sz w:val="25"/>
          <w:szCs w:val="25"/>
          <w:highlight w:val="white"/>
        </w:rPr>
        <w:t xml:space="preserve"> інформація має ґрунтуватися виключно на неупередженому та фактичному аналізі власної діяльності, усуваючи вплив суб'єктивних чинників (особистих емоцій, бажань, симпатій чи антипатій).</w:t>
      </w:r>
    </w:p>
    <w:p w14:paraId="0000012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повинен використовувати конкретні кількісні та якісні показники своєї роботи: статистику розгляду справ, середні строки, відсоток скасованих/змінених рішень, протоколи нарад, внутрішні звіти суду.</w:t>
      </w:r>
    </w:p>
    <w:p w14:paraId="0000012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Об'єктивність досягається через суворе дотримання формалізованої критеріальної бази.</w:t>
      </w:r>
    </w:p>
    <w:p w14:paraId="0000012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Самооцінка має проводитися лише за визначеними індикаторами, які безпосередньо відносяться до професійних обов'язків судді та етичних стандартів.</w:t>
      </w:r>
    </w:p>
    <w:p w14:paraId="0000012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Самоспостереження не повинно включати фактори, не пов'язані з професійною діяльністю та критеріями самооцінювання.</w:t>
      </w:r>
    </w:p>
    <w:p w14:paraId="0000012C"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має забезпечити баланс між позитивним та негативним аналізом своєї діяльності.</w:t>
      </w:r>
    </w:p>
    <w:p w14:paraId="0000012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Самоспостереження має охоплювати весь звітний період, а не лише ті його частини, де результати були найкращими. Збір інформації має ґрунтуватися виключно на </w:t>
      </w:r>
      <w:r w:rsidRPr="00586989">
        <w:rPr>
          <w:rFonts w:ascii="Times New Roman" w:eastAsia="Times New Roman" w:hAnsi="Times New Roman" w:cs="Times New Roman"/>
          <w:sz w:val="25"/>
          <w:szCs w:val="25"/>
          <w:highlight w:val="white"/>
        </w:rPr>
        <w:lastRenderedPageBreak/>
        <w:t>фактах і доказах, унеможливлюючи вплив емоцій, зайвих рефлексій, негативного психоемоційного стану з акцентом на необхідність напрацювання рекомендацій для самовдосконалення. При проведенні самооцінювання мають бути виключені суб’єктивні чинники: надмірна самокритика, знецінення своїх досягнень, емоційне вигорання, страх змін тощо.</w:t>
      </w:r>
    </w:p>
    <w:p w14:paraId="0000012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Відповідальність та етичність:</w:t>
      </w:r>
      <w:r w:rsidRPr="00586989">
        <w:rPr>
          <w:rFonts w:ascii="Times New Roman" w:eastAsia="Times New Roman" w:hAnsi="Times New Roman" w:cs="Times New Roman"/>
          <w:sz w:val="25"/>
          <w:szCs w:val="25"/>
          <w:highlight w:val="white"/>
        </w:rPr>
        <w:t xml:space="preserve"> суддя несе персональну відповідальність за достовірність та правдивість інформації, наданої в рамках самооцінювання.</w:t>
      </w:r>
    </w:p>
    <w:p w14:paraId="0000012F"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Самооцінювання є інструментом для подальшого професійного та особистісного зростання.</w:t>
      </w:r>
    </w:p>
    <w:p w14:paraId="0000013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Результати самоспостереження повинні трансформуватися у чіткі висновки та слугувати основою для розробки рекомендацій щодо підготовки/підвищення кваліфікації в Національній школі суддів України, спрямованого на усунення виявлених прогалин.</w:t>
      </w:r>
    </w:p>
    <w:p w14:paraId="0000013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має визначити необхідні форми підвищення кваліфікації (навчальні курси, стажування), які найбільше відповідають його поточним потребам, виявленим у процесі самоспостереження.</w:t>
      </w:r>
    </w:p>
    <w:p w14:paraId="00000132" w14:textId="77777777" w:rsidR="00D21323" w:rsidRPr="00586989" w:rsidRDefault="000F2C83" w:rsidP="00337E49">
      <w:pPr>
        <w:spacing w:line="259" w:lineRule="auto"/>
        <w:ind w:right="2" w:firstLine="709"/>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Дотримання процедури</w:t>
      </w:r>
      <w:r w:rsidRPr="00586989">
        <w:rPr>
          <w:rFonts w:ascii="Times New Roman" w:eastAsia="Times New Roman" w:hAnsi="Times New Roman" w:cs="Times New Roman"/>
          <w:sz w:val="25"/>
          <w:szCs w:val="25"/>
          <w:highlight w:val="white"/>
        </w:rPr>
        <w:t>: суб'єкт зобов'язаний здійснювати фіксацію результатів спостереження виключно відповідно до вимог Анкети (Додаток 3 до Положення про регулярне оцінювання судді).</w:t>
      </w:r>
    </w:p>
    <w:p w14:paraId="0000013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застосування методу самоспостереження під час самооцінювання судді:</w:t>
      </w:r>
    </w:p>
    <w:p w14:paraId="0000013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Спрямованість спостереження:</w:t>
      </w:r>
    </w:p>
    <w:p w14:paraId="0000013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Процесуальна поведінка:</w:t>
      </w:r>
      <w:r w:rsidRPr="00586989">
        <w:rPr>
          <w:rFonts w:ascii="Times New Roman" w:eastAsia="Times New Roman" w:hAnsi="Times New Roman" w:cs="Times New Roman"/>
          <w:sz w:val="25"/>
          <w:szCs w:val="25"/>
          <w:highlight w:val="white"/>
        </w:rPr>
        <w:t xml:space="preserve"> якість підготовки до судових засідань, дотримання регламенту, забезпечення рівності сторін, вміння керувати процесом.</w:t>
      </w:r>
    </w:p>
    <w:p w14:paraId="00000136"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Етична поведінка:</w:t>
      </w:r>
      <w:r w:rsidRPr="00586989">
        <w:rPr>
          <w:rFonts w:ascii="Times New Roman" w:eastAsia="Times New Roman" w:hAnsi="Times New Roman" w:cs="Times New Roman"/>
          <w:sz w:val="25"/>
          <w:szCs w:val="25"/>
          <w:highlight w:val="white"/>
        </w:rPr>
        <w:t xml:space="preserve"> культура спілкування з учасниками процесу, колегами та працівниками апарату, толерантність, витримка. Використання ділової української мови.</w:t>
      </w:r>
    </w:p>
    <w:p w14:paraId="00000137"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b/>
          <w:bCs/>
          <w:sz w:val="25"/>
          <w:szCs w:val="25"/>
          <w:highlight w:val="white"/>
        </w:rPr>
        <w:t>Організаційна діяльність:</w:t>
      </w:r>
      <w:r w:rsidRPr="00586989">
        <w:rPr>
          <w:rFonts w:ascii="Times New Roman" w:eastAsia="Times New Roman" w:hAnsi="Times New Roman" w:cs="Times New Roman"/>
          <w:sz w:val="25"/>
          <w:szCs w:val="25"/>
          <w:highlight w:val="white"/>
        </w:rPr>
        <w:t xml:space="preserve"> дисциплінованість, дотримання внутрішнього розпорядку, внесок у роботу колективу суду.</w:t>
      </w:r>
    </w:p>
    <w:p w14:paraId="0000013C" w14:textId="77777777" w:rsidR="00D21323" w:rsidRPr="00620894" w:rsidRDefault="000F2C83" w:rsidP="00D336D4">
      <w:pPr>
        <w:spacing w:before="240" w:after="240"/>
        <w:ind w:right="2"/>
        <w:jc w:val="center"/>
        <w:rPr>
          <w:rFonts w:ascii="Times New Roman" w:eastAsia="Times New Roman" w:hAnsi="Times New Roman" w:cs="Times New Roman"/>
          <w:b/>
          <w:bCs/>
          <w:sz w:val="26"/>
          <w:szCs w:val="26"/>
          <w:highlight w:val="white"/>
        </w:rPr>
      </w:pPr>
      <w:bookmarkStart w:id="4" w:name="_heading=h.evdydnpttl2" w:colFirst="0" w:colLast="0"/>
      <w:bookmarkEnd w:id="4"/>
      <w:r w:rsidRPr="00620894">
        <w:rPr>
          <w:rFonts w:ascii="Times New Roman" w:eastAsia="Times New Roman" w:hAnsi="Times New Roman" w:cs="Times New Roman"/>
          <w:b/>
          <w:bCs/>
          <w:sz w:val="26"/>
          <w:szCs w:val="26"/>
          <w:highlight w:val="white"/>
        </w:rPr>
        <w:t>Розділ 5. Методичні рекомендації для проведення оцінювання судді громадськими об’єднаннями</w:t>
      </w:r>
    </w:p>
    <w:p w14:paraId="0000013E"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Завданням індивідуального оцінювання якості роботи судді в судових засіданнях є оцінка якості роботи конкретного судді. Такий моніторинг судового процесу має на меті поліпшення системи правосуддя шляхом збору даних про ведення судових процесів, їх аналізування, виявлення проблем при здійсненні правосуддя. </w:t>
      </w:r>
    </w:p>
    <w:p w14:paraId="0000013F"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Оцінювання судді громадськими об’єднаннями здійснюється з урахуванням міжнародних стандартів моніторингу судових процесів, зокрема, розроблених Бюро демократичних інститутів та прав людини (БДІПЛ) Організації з безпеки і співробітництва в Європі та наведених у відповідних посібниках</w:t>
      </w:r>
      <w:r w:rsidRPr="00586989">
        <w:rPr>
          <w:rFonts w:ascii="Times New Roman" w:eastAsia="Times New Roman" w:hAnsi="Times New Roman" w:cs="Times New Roman"/>
          <w:sz w:val="25"/>
          <w:szCs w:val="25"/>
          <w:highlight w:val="white"/>
          <w:vertAlign w:val="superscript"/>
        </w:rPr>
        <w:footnoteReference w:id="1"/>
      </w:r>
      <w:r w:rsidRPr="00586989">
        <w:rPr>
          <w:rFonts w:ascii="Times New Roman" w:eastAsia="Times New Roman" w:hAnsi="Times New Roman" w:cs="Times New Roman"/>
          <w:sz w:val="25"/>
          <w:szCs w:val="25"/>
          <w:highlight w:val="white"/>
        </w:rPr>
        <w:t>.</w:t>
      </w:r>
    </w:p>
    <w:p w14:paraId="00000140" w14:textId="77777777" w:rsidR="00D21323" w:rsidRPr="00586989" w:rsidRDefault="000F2C83" w:rsidP="00337E49">
      <w:pPr>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оцінювання.</w:t>
      </w:r>
    </w:p>
    <w:p w14:paraId="00000141"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Об'єктом оцінювання є процесуальна та етична поведінка судді під час відкритого судового засідання,  організаційні навички та особистісні якості судді.</w:t>
      </w:r>
    </w:p>
    <w:p w14:paraId="00000142"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оцінювання та його повноваження.</w:t>
      </w:r>
    </w:p>
    <w:p w14:paraId="00000143"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Суб’єктом оцінювання є громадські об’єднання, що належним чином зареєстровані в Україні та включені Вищою кваліфікаційною комісією суддів України до переліку громадських об’єднань та їх представників, які можуть проводити регулярне оцінювання роботи суддів.</w:t>
      </w:r>
    </w:p>
    <w:p w14:paraId="00000144"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Для успішного проведення регулярного оцінювання представники громадських об’єднань мають:</w:t>
      </w:r>
    </w:p>
    <w:p w14:paraId="00000145"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вміти ідентифікувати ключові критерії (показники) оцінювання роботи судді, передбачені Положенням про регулярне оцінювання судді ;</w:t>
      </w:r>
    </w:p>
    <w:p w14:paraId="00000146"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володіти навичками роботи з формою оцінки (анкетою); уміння спостерігати у судовому засіданні і належним чином заповнювати анкету представника ГО;</w:t>
      </w:r>
    </w:p>
    <w:p w14:paraId="00000147"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розуміти обов’язковість мотивації позначок «рекомендовано удосконалити».</w:t>
      </w:r>
    </w:p>
    <w:p w14:paraId="00000148"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Представники громадських об’єднань під час перебування в суді зобов’язані дотримуватися вимог процесуального закону, правил перебування в суді та вимог щодо проведення оцінювання; виявляти повагу до суду, учасників судового процесу та інших осіб, присутніх в судових засіданнях, бути ввічливими, не виявляти прихильності до позиції будь-якої сторони у справі.</w:t>
      </w:r>
    </w:p>
    <w:p w14:paraId="00000149"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Громадське об’єднання не повинно використовувати регулярне оцінювання судді у цілях, що є несумісними із метою такого оцінювання.</w:t>
      </w:r>
    </w:p>
    <w:p w14:paraId="0000014A" w14:textId="7DCB49F0"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Представник громадського </w:t>
      </w:r>
      <w:r w:rsidR="00337E49" w:rsidRPr="00586989">
        <w:rPr>
          <w:rFonts w:ascii="Times New Roman" w:eastAsia="Times New Roman" w:hAnsi="Times New Roman" w:cs="Times New Roman"/>
          <w:sz w:val="25"/>
          <w:szCs w:val="25"/>
          <w:highlight w:val="white"/>
        </w:rPr>
        <w:t>об’єднання</w:t>
      </w:r>
      <w:r w:rsidRPr="00586989">
        <w:rPr>
          <w:rFonts w:ascii="Times New Roman" w:eastAsia="Times New Roman" w:hAnsi="Times New Roman" w:cs="Times New Roman"/>
          <w:sz w:val="25"/>
          <w:szCs w:val="25"/>
          <w:highlight w:val="white"/>
        </w:rPr>
        <w:t xml:space="preserve"> будує свою роботу на принципах професійності, невтручання, безсторонності та конфіденційності.</w:t>
      </w:r>
    </w:p>
    <w:p w14:paraId="0000014B"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Представники громадського об’єднання під час проведення оцінювання повинні бути об’єктивними і вказувати в анкеті лише достовірну інформацію. За потреби, до анкети може бути додані фото, аудіо- або відеозапис відкритого судового засідання, яке відвідав представник громадського об’єднання.</w:t>
      </w:r>
    </w:p>
    <w:p w14:paraId="0000014C"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Особливості застосування методу спостереження під час оцінювання: </w:t>
      </w:r>
      <w:r w:rsidRPr="00586989">
        <w:rPr>
          <w:rFonts w:ascii="Times New Roman" w:eastAsia="Times New Roman" w:hAnsi="Times New Roman" w:cs="Times New Roman"/>
          <w:sz w:val="25"/>
          <w:szCs w:val="25"/>
          <w:highlight w:val="white"/>
        </w:rPr>
        <w:t>цілеспрямоване сприйняття та фіксація результатів спостереження за перебігом судового процесу, що передусім вимагає об'єктивності в оцінюванні, неупередженості та уважності самого спостерігача.</w:t>
      </w:r>
    </w:p>
    <w:p w14:paraId="0000014D"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Спрямованість спостереження:</w:t>
      </w:r>
    </w:p>
    <w:p w14:paraId="0000014E"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Процесуальна поведінка: </w:t>
      </w:r>
      <w:r w:rsidRPr="00586989">
        <w:rPr>
          <w:rFonts w:ascii="Times New Roman" w:eastAsia="Times New Roman" w:hAnsi="Times New Roman" w:cs="Times New Roman"/>
          <w:sz w:val="25"/>
          <w:szCs w:val="25"/>
          <w:highlight w:val="white"/>
        </w:rPr>
        <w:t>якість підготовки до судових засідань, дотримання регламенту, забезпечення рівності сторін, вміння керувати процесом.</w:t>
      </w:r>
    </w:p>
    <w:p w14:paraId="0000014F"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Етична поведінка: </w:t>
      </w:r>
      <w:r w:rsidRPr="00586989">
        <w:rPr>
          <w:rFonts w:ascii="Times New Roman" w:eastAsia="Times New Roman" w:hAnsi="Times New Roman" w:cs="Times New Roman"/>
          <w:sz w:val="25"/>
          <w:szCs w:val="25"/>
          <w:highlight w:val="white"/>
        </w:rPr>
        <w:t>культура спілкування з учасниками процесу, колегами та працівниками апарату, толерантність, витримка.</w:t>
      </w:r>
    </w:p>
    <w:p w14:paraId="00000150"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 xml:space="preserve">Організаційна діяльність: </w:t>
      </w:r>
      <w:r w:rsidRPr="00586989">
        <w:rPr>
          <w:rFonts w:ascii="Times New Roman" w:eastAsia="Times New Roman" w:hAnsi="Times New Roman" w:cs="Times New Roman"/>
          <w:sz w:val="25"/>
          <w:szCs w:val="25"/>
          <w:highlight w:val="white"/>
        </w:rPr>
        <w:t>дисциплінованість, дотримання внутрішнього розпорядку, внесок у роботу колективу суду.</w:t>
      </w:r>
    </w:p>
    <w:p w14:paraId="00000151"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заповнення інформації про справи, робота судді в яких оцінювалась.</w:t>
      </w:r>
    </w:p>
    <w:p w14:paraId="00000152"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Для коректного відображення результатів спостереження перш за все необхідно зафіксувати дані про те, чи анонсовано справу на дошці оголошень суду, а також на сайті суду, чи дотримався суд графіку розгляду справи та де проходило судове засідання.</w:t>
      </w:r>
    </w:p>
    <w:p w14:paraId="00000153"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Заповнення інформації про судові засідання.</w:t>
      </w:r>
    </w:p>
    <w:p w14:paraId="00000154" w14:textId="77777777" w:rsidR="00D21323" w:rsidRPr="00586989" w:rsidRDefault="000F2C83" w:rsidP="00337E49">
      <w:pPr>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Зазначення інформації про те, чи засідання у справі  перше підготовче (попереднє) засідання; не перше; перше засідання щодо судового розгляду справи; не перше засідання щодо судового розгляду справи; інше.</w:t>
      </w:r>
    </w:p>
    <w:p w14:paraId="00000155"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Опис показників:</w:t>
      </w:r>
    </w:p>
    <w:p w14:paraId="00000156"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Вміння та  навички ведення засідання.</w:t>
      </w:r>
    </w:p>
    <w:p w14:paraId="00000157"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Ключовим обов'язком судді є  управління залою судового засідання, що включає вміння контролювати процес, вирішувати можливі конфлікти та підтримувати дисципліну і порядок в залі; ведення засідання державною мовою; навички управління часом, спрямовані на забезпечення швидкого та ефективного розгляду справи.</w:t>
      </w:r>
    </w:p>
    <w:p w14:paraId="00000158"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sz w:val="25"/>
          <w:szCs w:val="25"/>
          <w:highlight w:val="white"/>
        </w:rPr>
        <w:t xml:space="preserve"> Зокрема, відкриття засідання, оголошення справи яка слухається, оголошення складу суду, перевірка особи учасників (представників та їх повноваження) процесу, роз’яснення прав та обов’язків учасників судового процесу, вирішення клопотань, заслуховування думки учасників судового процесу при вчиненні тих чи інших процесуальних дій у багатьох випадках, якщо це передбачено процесуальним законом</w:t>
      </w:r>
      <w:r w:rsidRPr="00586989">
        <w:rPr>
          <w:rFonts w:ascii="Times New Roman" w:eastAsia="Times New Roman" w:hAnsi="Times New Roman" w:cs="Times New Roman"/>
          <w:b/>
          <w:bCs/>
          <w:sz w:val="25"/>
          <w:szCs w:val="25"/>
          <w:highlight w:val="white"/>
        </w:rPr>
        <w:t>.</w:t>
      </w:r>
    </w:p>
    <w:p w14:paraId="00000159"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Здатність контролювати хід засідання.</w:t>
      </w:r>
    </w:p>
    <w:p w14:paraId="0000015A"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здійснює безпосереднє керівництво засіданням, забезпечуючи його порядок з дотриманням всіх необхідних процедур, що включає: контроль за фіксацією та дотриманням порядку в залі, розподіл часу, керування виступами (надання слова/ припинення виступу), підтримка дисципліни та етикету, дотримання регламенту та ухвалення процесуальних рішень,  чітка та переконлива комунікація, емоційна стриманість .</w:t>
      </w:r>
    </w:p>
    <w:p w14:paraId="0000015B"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Уважність під час виступів учасників.</w:t>
      </w:r>
    </w:p>
    <w:p w14:paraId="0000015C"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Уважність та зосередженість під час заслуховування виступів, аргументів та доводів сторін, забезпечення рівних можливості для всіх сторін у викладенні своєї позиції. Суддя забезпечує можливість учасникам вільно висловлюватися та бути почутими, гарантуючи їм рівні можливості для захисту своїх інтересів.</w:t>
      </w:r>
    </w:p>
    <w:p w14:paraId="0000015D"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Відволікання судді від судового процесу, залежно від обставин, може тлумачитися як прояв неповаги до сторін, порушення принципу змагальності процесу тощо.</w:t>
      </w:r>
    </w:p>
    <w:p w14:paraId="0000015E"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Повага до честі і гідності учасників.</w:t>
      </w:r>
    </w:p>
    <w:p w14:paraId="0000015F"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Характеризується забороною будь-якої поведінки чи висловлювань, що принижують учасника процесу. Суддя виявляє повагу через неупередженість, неухильне дотримання закону та професійну етику, уникає грубощів, образ, упередженого ставлення та будь-яких проявів зверхності чи приниження.</w:t>
      </w:r>
    </w:p>
    <w:p w14:paraId="00000160"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Неупередженість, рівне ставлення до учасників.</w:t>
      </w:r>
    </w:p>
    <w:p w14:paraId="00000161"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Недопущення будь-яких форм (пряма/непряма) та типів (за ознаками статі, віку, раси чи етносу, сексуальної орієнтації, віросповідання, мови) дискримінації та створення умов для вільної реалізації прав, захисту гідності та честі кожної людини, яка звертається до суду; збереження безсторонності при розгляді справи.</w:t>
      </w:r>
    </w:p>
    <w:p w14:paraId="00000162"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Культура спілкування з учасниками.</w:t>
      </w:r>
    </w:p>
    <w:p w14:paraId="00000163"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Передбачає високу комунікативну майстерність, грамотність мовлення, етику, доброзичливість, привітність та професіоналізм, зокрема вміння спілкування стримано, спокійним тоном,  використання ділової лексики, уникнення категоричного, агресії, образ, нетактовності та грубості.</w:t>
      </w:r>
    </w:p>
    <w:p w14:paraId="00000164" w14:textId="77777777" w:rsidR="00D21323" w:rsidRPr="00586989" w:rsidRDefault="000F2C83" w:rsidP="00337E49">
      <w:pPr>
        <w:spacing w:line="256" w:lineRule="auto"/>
        <w:ind w:right="2" w:firstLine="705"/>
        <w:jc w:val="both"/>
        <w:rPr>
          <w:rFonts w:ascii="Times New Roman" w:eastAsia="Times New Roman" w:hAnsi="Times New Roman" w:cs="Times New Roman"/>
          <w:b/>
          <w:bCs/>
          <w:strike/>
          <w:sz w:val="25"/>
          <w:szCs w:val="25"/>
          <w:highlight w:val="white"/>
        </w:rPr>
      </w:pPr>
      <w:r w:rsidRPr="00586989">
        <w:rPr>
          <w:rFonts w:ascii="Times New Roman" w:eastAsia="Times New Roman" w:hAnsi="Times New Roman" w:cs="Times New Roman"/>
          <w:sz w:val="25"/>
          <w:szCs w:val="25"/>
          <w:highlight w:val="white"/>
        </w:rPr>
        <w:t>Стаття 9 Кодексу суддівської етики вимагає від судді не виявляти неповагу до учасників судового процесу самому та не дозволяти цього іншим.</w:t>
      </w:r>
    </w:p>
    <w:p w14:paraId="00000165"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Зовнішній вигляд (наявність мантії, нагрудного знаку тощо).</w:t>
      </w:r>
    </w:p>
    <w:p w14:paraId="00000166"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Стаття 16 Закону України «Про судоустрій і статус суддів» передбачає здійснення правосуддя з використанням символів судової влади: мантії та нагрудного знаку.</w:t>
      </w:r>
    </w:p>
    <w:p w14:paraId="00000167"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sz w:val="25"/>
          <w:szCs w:val="25"/>
          <w:highlight w:val="white"/>
        </w:rPr>
        <w:t>При фіксації результатів спостереження представником ГО  необхідно звернути увагу, чи суддя (судді) здійснював правосуддя у мантії з нагрудним знаком чи без мантії/без нагрудного знаку або і без мантії та без нагрудного знаку, а також оцінити загальний зовнішній вигляд, охайність тощо.</w:t>
      </w:r>
    </w:p>
    <w:p w14:paraId="00000168" w14:textId="3557DD10" w:rsidR="00D21323" w:rsidRPr="00620894" w:rsidRDefault="000F2C83" w:rsidP="00337E49">
      <w:pPr>
        <w:spacing w:line="256" w:lineRule="auto"/>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lastRenderedPageBreak/>
        <w:t>Реакція суду на представника громадського об’єднання.</w:t>
      </w:r>
    </w:p>
    <w:p w14:paraId="00000169"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Оцінюється рівень відкритості судді, відсутність перешкод у доступі до відкритого судового засідання, коректність поведінки судді щодо представника громадського об’єднання.</w:t>
      </w:r>
    </w:p>
    <w:p w14:paraId="0000016A" w14:textId="7CA4E862" w:rsidR="00D21323" w:rsidRPr="00620894" w:rsidRDefault="00A66DDB" w:rsidP="00A66DDB">
      <w:pPr>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ab/>
      </w:r>
      <w:r w:rsidR="000F2C83" w:rsidRPr="00620894">
        <w:rPr>
          <w:rFonts w:ascii="Times New Roman" w:eastAsia="Times New Roman" w:hAnsi="Times New Roman" w:cs="Times New Roman"/>
          <w:b/>
          <w:bCs/>
          <w:sz w:val="26"/>
          <w:szCs w:val="26"/>
          <w:highlight w:val="white"/>
        </w:rPr>
        <w:t>Рівень задоволення поведінкою судді учасниками процесу (середній бал).</w:t>
      </w:r>
    </w:p>
    <w:p w14:paraId="0000016B"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Формується на підставі узагальнених спостережень за реакціями учасників процесу, їх поведінкою та, за можливості, коротких усних зауважень після завершення судового засідання, без втручання у процес та з дотриманням принципу добровільності.</w:t>
      </w:r>
    </w:p>
    <w:p w14:paraId="0000016C" w14:textId="77777777" w:rsidR="00D21323" w:rsidRPr="00620894" w:rsidRDefault="000F2C83" w:rsidP="00337E49">
      <w:pPr>
        <w:spacing w:line="256" w:lineRule="auto"/>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Рекомендації (зауваження) учасників щодо ведення процесу.</w:t>
      </w:r>
    </w:p>
    <w:p w14:paraId="00000181" w14:textId="103BF314"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Зазначаються лише ті рекомендації або зауваження, які стосуються організації та культури ведення судового засідання, не містять оцінки судового рішення та не порушують принцип незалежності судді.</w:t>
      </w:r>
    </w:p>
    <w:p w14:paraId="51B40FBD" w14:textId="0B98688F" w:rsidR="00337E49" w:rsidRPr="00620894" w:rsidRDefault="00337E49">
      <w:pPr>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br w:type="page"/>
      </w:r>
    </w:p>
    <w:p w14:paraId="00000184" w14:textId="77777777" w:rsidR="00D21323" w:rsidRPr="00620894" w:rsidRDefault="000F2C83" w:rsidP="00D336D4">
      <w:pPr>
        <w:spacing w:after="240"/>
        <w:ind w:right="2" w:firstLine="705"/>
        <w:jc w:val="center"/>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lastRenderedPageBreak/>
        <w:t>Додаткові джерела для ознайомлення:</w:t>
      </w:r>
    </w:p>
    <w:p w14:paraId="00000185" w14:textId="77777777" w:rsidR="00D21323" w:rsidRPr="00504038" w:rsidRDefault="000F2C83" w:rsidP="00337E49">
      <w:pPr>
        <w:numPr>
          <w:ilvl w:val="0"/>
          <w:numId w:val="3"/>
        </w:numPr>
        <w:spacing w:line="259" w:lineRule="auto"/>
        <w:ind w:left="0" w:right="2" w:firstLine="709"/>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Конституція України, прийнята на п'ятій сесії Верховної Ради України 28 червня 1996 р. [Електронний ресурс] // Відомості Верховної Ради України.– Режим доступу: </w:t>
      </w:r>
      <w:hyperlink r:id="rId9">
        <w:r w:rsidRPr="00504038">
          <w:rPr>
            <w:rFonts w:ascii="Times New Roman" w:eastAsia="Times New Roman" w:hAnsi="Times New Roman" w:cs="Times New Roman"/>
            <w:color w:val="0563C1"/>
            <w:sz w:val="25"/>
            <w:szCs w:val="25"/>
            <w:highlight w:val="white"/>
            <w:u w:val="single"/>
          </w:rPr>
          <w:t>http://zakon2.rada.gov.ua/laws/show/254к/96-вр</w:t>
        </w:r>
      </w:hyperlink>
      <w:r w:rsidRPr="00504038">
        <w:rPr>
          <w:rFonts w:ascii="Times New Roman" w:eastAsia="Times New Roman" w:hAnsi="Times New Roman" w:cs="Times New Roman"/>
          <w:sz w:val="25"/>
          <w:szCs w:val="25"/>
          <w:highlight w:val="white"/>
        </w:rPr>
        <w:t>;</w:t>
      </w:r>
    </w:p>
    <w:p w14:paraId="00000186"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Кодекс суддівської етики: рішення XI чергового з'їзду суддів України від 22.02.2013 [Електронний ресурс] / Верховна Рада України. – Режим доступу: </w:t>
      </w:r>
      <w:hyperlink r:id="rId10" w:anchor="Text">
        <w:r w:rsidRPr="00504038">
          <w:rPr>
            <w:rFonts w:ascii="Times New Roman" w:eastAsia="Times New Roman" w:hAnsi="Times New Roman" w:cs="Times New Roman"/>
            <w:color w:val="0563C1"/>
            <w:sz w:val="25"/>
            <w:szCs w:val="25"/>
            <w:highlight w:val="white"/>
            <w:u w:val="single"/>
          </w:rPr>
          <w:t>https://zakon.rada.gov.ua/rada/show/n0001415-13#Text</w:t>
        </w:r>
      </w:hyperlink>
      <w:r w:rsidRPr="00504038">
        <w:rPr>
          <w:rFonts w:ascii="Times New Roman" w:eastAsia="Times New Roman" w:hAnsi="Times New Roman" w:cs="Times New Roman"/>
          <w:sz w:val="25"/>
          <w:szCs w:val="25"/>
          <w:highlight w:val="white"/>
        </w:rPr>
        <w:t>;</w:t>
      </w:r>
    </w:p>
    <w:p w14:paraId="00000187"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Про судоустрій і статус суддів: Закон України від 02.06.2016 № 1402-VIII. [Електронний ресурс] / Верховна Рада України. – Режим доступу: </w:t>
      </w:r>
      <w:hyperlink r:id="rId11" w:anchor="Text">
        <w:r w:rsidRPr="00504038">
          <w:rPr>
            <w:rFonts w:ascii="Times New Roman" w:eastAsia="Times New Roman" w:hAnsi="Times New Roman" w:cs="Times New Roman"/>
            <w:color w:val="0563C1"/>
            <w:sz w:val="25"/>
            <w:szCs w:val="25"/>
            <w:highlight w:val="white"/>
            <w:u w:val="single"/>
          </w:rPr>
          <w:t>https://zakon.rada.gov.ua/laws/show/1402-19#Text</w:t>
        </w:r>
      </w:hyperlink>
      <w:r w:rsidRPr="00504038">
        <w:rPr>
          <w:rFonts w:ascii="Times New Roman" w:eastAsia="Times New Roman" w:hAnsi="Times New Roman" w:cs="Times New Roman"/>
          <w:sz w:val="25"/>
          <w:szCs w:val="25"/>
          <w:highlight w:val="white"/>
        </w:rPr>
        <w:t>;</w:t>
      </w:r>
    </w:p>
    <w:p w14:paraId="00000188"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Про запобігання корупції: Закон України від 14.10.2024 № 1700-VII. [Електронний ресурс] / Верховна Рада України. – Режим доступу: </w:t>
      </w:r>
      <w:hyperlink r:id="rId12" w:anchor="Text">
        <w:r w:rsidRPr="00504038">
          <w:rPr>
            <w:rFonts w:ascii="Times New Roman" w:eastAsia="Times New Roman" w:hAnsi="Times New Roman" w:cs="Times New Roman"/>
            <w:color w:val="0563C1"/>
            <w:sz w:val="25"/>
            <w:szCs w:val="25"/>
            <w:highlight w:val="white"/>
            <w:u w:val="single"/>
          </w:rPr>
          <w:t>https://zakon.rada.gov.ua/laws/show/1700-18#Text</w:t>
        </w:r>
      </w:hyperlink>
      <w:r w:rsidRPr="00504038">
        <w:rPr>
          <w:rFonts w:ascii="Times New Roman" w:eastAsia="Times New Roman" w:hAnsi="Times New Roman" w:cs="Times New Roman"/>
          <w:sz w:val="25"/>
          <w:szCs w:val="25"/>
          <w:highlight w:val="white"/>
        </w:rPr>
        <w:t>;</w:t>
      </w:r>
    </w:p>
    <w:p w14:paraId="00000189"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Висновки Консультативної ради європейських суддів [Електронний ресурс] – Режим доступу: </w:t>
      </w:r>
      <w:hyperlink r:id="rId13">
        <w:r w:rsidRPr="00504038">
          <w:rPr>
            <w:rFonts w:ascii="Times New Roman" w:eastAsia="Times New Roman" w:hAnsi="Times New Roman" w:cs="Times New Roman"/>
            <w:color w:val="0563C1"/>
            <w:sz w:val="25"/>
            <w:szCs w:val="25"/>
            <w:highlight w:val="white"/>
            <w:u w:val="single"/>
          </w:rPr>
          <w:t>https://hcj.gov.ua/page/vysnovky-kryes</w:t>
        </w:r>
      </w:hyperlink>
      <w:r w:rsidRPr="00504038">
        <w:rPr>
          <w:rFonts w:ascii="Times New Roman" w:eastAsia="Times New Roman" w:hAnsi="Times New Roman" w:cs="Times New Roman"/>
          <w:sz w:val="25"/>
          <w:szCs w:val="25"/>
          <w:highlight w:val="white"/>
        </w:rPr>
        <w:t>;</w:t>
      </w:r>
    </w:p>
    <w:p w14:paraId="0000018A"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Положення про порядок та методологію кваліфікаційного оцінювання, показники відповідності критеріям кваліфікаційного оцінювання та метод і засоби їх встановлення, затверджене рішенням Вищої кваліфікаційної комісії суддів України від 22.01.2025 року № 20/зп-25 [Електронний ресурс] – Режим доступу: </w:t>
      </w:r>
      <w:hyperlink r:id="rId14">
        <w:r w:rsidRPr="00504038">
          <w:rPr>
            <w:rFonts w:ascii="Times New Roman" w:eastAsia="Times New Roman" w:hAnsi="Times New Roman" w:cs="Times New Roman"/>
            <w:color w:val="0563C1"/>
            <w:sz w:val="25"/>
            <w:szCs w:val="25"/>
            <w:highlight w:val="white"/>
            <w:u w:val="single"/>
          </w:rPr>
          <w:t>https://vkksu.gov.ua/sites/default/files/polozhennya_ko_28.05.2025.pdf</w:t>
        </w:r>
      </w:hyperlink>
      <w:r w:rsidRPr="00504038">
        <w:rPr>
          <w:rFonts w:ascii="Times New Roman" w:eastAsia="Times New Roman" w:hAnsi="Times New Roman" w:cs="Times New Roman"/>
          <w:sz w:val="25"/>
          <w:szCs w:val="25"/>
          <w:highlight w:val="white"/>
        </w:rPr>
        <w:t>;</w:t>
      </w:r>
    </w:p>
    <w:p w14:paraId="0000018B"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Положення про регулярне оцінювання судді, затверджене рішенням Вищої кваліфікаційної комісії суддів України від 29.09.2025 року № 181/зп-25 [Електронний ресурс] – Режим доступу: </w:t>
      </w:r>
      <w:hyperlink r:id="rId15">
        <w:r w:rsidRPr="00504038">
          <w:rPr>
            <w:rFonts w:ascii="Times New Roman" w:eastAsia="Times New Roman" w:hAnsi="Times New Roman" w:cs="Times New Roman"/>
            <w:color w:val="0563C1"/>
            <w:sz w:val="25"/>
            <w:szCs w:val="25"/>
            <w:highlight w:val="white"/>
            <w:u w:val="single"/>
          </w:rPr>
          <w:t>https://www.vkksu.gov.ua/rubric/regulyarne-ocinyuvannya</w:t>
        </w:r>
      </w:hyperlink>
      <w:r w:rsidRPr="00504038">
        <w:rPr>
          <w:rFonts w:ascii="Times New Roman" w:eastAsia="Times New Roman" w:hAnsi="Times New Roman" w:cs="Times New Roman"/>
          <w:sz w:val="25"/>
          <w:szCs w:val="25"/>
          <w:highlight w:val="white"/>
        </w:rPr>
        <w:t>;</w:t>
      </w:r>
    </w:p>
    <w:p w14:paraId="0000018C"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Рішення Великої Палати Верховного Суду від 10.11.2021 року у справі № 9901/355/21 [Електронний ресурс] – Режим доступу: </w:t>
      </w:r>
      <w:hyperlink r:id="rId16">
        <w:r w:rsidRPr="00504038">
          <w:rPr>
            <w:rFonts w:ascii="Times New Roman" w:eastAsia="Times New Roman" w:hAnsi="Times New Roman" w:cs="Times New Roman"/>
            <w:color w:val="0563C1"/>
            <w:sz w:val="25"/>
            <w:szCs w:val="25"/>
            <w:highlight w:val="white"/>
            <w:u w:val="single"/>
          </w:rPr>
          <w:t>https://reyestr.court.gov.ua/Review/107533714</w:t>
        </w:r>
      </w:hyperlink>
      <w:r w:rsidRPr="00504038">
        <w:rPr>
          <w:rFonts w:ascii="Times New Roman" w:eastAsia="Times New Roman" w:hAnsi="Times New Roman" w:cs="Times New Roman"/>
          <w:sz w:val="25"/>
          <w:szCs w:val="25"/>
          <w:highlight w:val="white"/>
        </w:rPr>
        <w:t>.</w:t>
      </w:r>
    </w:p>
    <w:p w14:paraId="0000018D"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Громадські об’єднання будуть оцінювати культуру спілкування суддів в процесі – опубліковано положення про регулярне оцінювання суддів. [Електронний ресурс] – Режим доступу: </w:t>
      </w:r>
      <w:hyperlink r:id="rId17">
        <w:r w:rsidRPr="00504038">
          <w:rPr>
            <w:rFonts w:ascii="Times New Roman" w:eastAsia="Times New Roman" w:hAnsi="Times New Roman" w:cs="Times New Roman"/>
            <w:color w:val="0563C1"/>
            <w:sz w:val="25"/>
            <w:szCs w:val="25"/>
            <w:highlight w:val="white"/>
            <w:u w:val="single"/>
          </w:rPr>
          <w:t>https://sud.ua/uk/news/publication/343656-obschestvennye-obedineniya-budut-otsenivat-kulturu-obscheniya-sudey-v-protsesse-opublikovano-polozhenie-o-regulyarnom-otsenivanii-sudey</w:t>
        </w:r>
      </w:hyperlink>
      <w:r w:rsidRPr="00504038">
        <w:rPr>
          <w:rFonts w:ascii="Times New Roman" w:eastAsia="Times New Roman" w:hAnsi="Times New Roman" w:cs="Times New Roman"/>
          <w:sz w:val="25"/>
          <w:szCs w:val="25"/>
          <w:highlight w:val="white"/>
        </w:rPr>
        <w:t xml:space="preserve"> </w:t>
      </w:r>
    </w:p>
    <w:p w14:paraId="0000018E" w14:textId="77777777" w:rsidR="00D21323" w:rsidRPr="00620894" w:rsidRDefault="000F2C83" w:rsidP="00337E49">
      <w:pPr>
        <w:numPr>
          <w:ilvl w:val="0"/>
          <w:numId w:val="3"/>
        </w:numPr>
        <w:spacing w:line="256" w:lineRule="auto"/>
        <w:ind w:left="0" w:right="2" w:firstLine="708"/>
        <w:jc w:val="both"/>
        <w:rPr>
          <w:rFonts w:ascii="Times New Roman" w:eastAsia="Times New Roman" w:hAnsi="Times New Roman" w:cs="Times New Roman"/>
          <w:sz w:val="26"/>
          <w:szCs w:val="26"/>
          <w:highlight w:val="white"/>
        </w:rPr>
      </w:pPr>
      <w:r w:rsidRPr="00504038">
        <w:rPr>
          <w:rFonts w:ascii="Times New Roman" w:eastAsia="Times New Roman" w:hAnsi="Times New Roman" w:cs="Times New Roman"/>
          <w:sz w:val="25"/>
          <w:szCs w:val="25"/>
          <w:highlight w:val="white"/>
        </w:rPr>
        <w:t>Банчук О., Куйбіда Р., Середа М. Моніторинг судового процесу: посібник для громадських об’єднань. – К.: ВАІТЕ, 2015. – 70 с.</w:t>
      </w:r>
    </w:p>
    <w:p w14:paraId="0000018F" w14:textId="77777777" w:rsidR="00D21323" w:rsidRPr="00620894" w:rsidRDefault="00D21323" w:rsidP="00337E49">
      <w:pPr>
        <w:spacing w:line="259" w:lineRule="auto"/>
        <w:ind w:right="2"/>
        <w:jc w:val="both"/>
        <w:rPr>
          <w:rFonts w:ascii="Times New Roman" w:eastAsia="Times New Roman" w:hAnsi="Times New Roman" w:cs="Times New Roman"/>
          <w:sz w:val="26"/>
          <w:szCs w:val="26"/>
          <w:highlight w:val="white"/>
        </w:rPr>
      </w:pPr>
    </w:p>
    <w:p w14:paraId="00000190" w14:textId="77777777" w:rsidR="00D21323" w:rsidRPr="00337E49" w:rsidRDefault="00D21323" w:rsidP="00337E49">
      <w:pPr>
        <w:ind w:right="2" w:firstLine="705"/>
        <w:jc w:val="both"/>
        <w:rPr>
          <w:rFonts w:ascii="Times New Roman" w:eastAsia="Times New Roman" w:hAnsi="Times New Roman" w:cs="Times New Roman"/>
          <w:sz w:val="26"/>
          <w:szCs w:val="26"/>
          <w:highlight w:val="white"/>
        </w:rPr>
      </w:pPr>
    </w:p>
    <w:sectPr w:rsidR="00D21323" w:rsidRPr="00337E49" w:rsidSect="0007206D">
      <w:headerReference w:type="default" r:id="rId18"/>
      <w:type w:val="continuous"/>
      <w:pgSz w:w="11909" w:h="16834"/>
      <w:pgMar w:top="1134" w:right="569"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9703B" w14:textId="77777777" w:rsidR="004F1DFD" w:rsidRDefault="004F1DFD">
      <w:pPr>
        <w:spacing w:line="240" w:lineRule="auto"/>
      </w:pPr>
      <w:r>
        <w:separator/>
      </w:r>
    </w:p>
  </w:endnote>
  <w:endnote w:type="continuationSeparator" w:id="0">
    <w:p w14:paraId="3A72AA2A" w14:textId="77777777" w:rsidR="004F1DFD" w:rsidRDefault="004F1D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1" w:fontKey="{96DEA921-277F-44CF-879B-B86186C50AEE}"/>
  </w:font>
  <w:font w:name="Cambria">
    <w:panose1 w:val="02040503050406030204"/>
    <w:charset w:val="CC"/>
    <w:family w:val="roman"/>
    <w:pitch w:val="variable"/>
    <w:sig w:usb0="E00006FF" w:usb1="420024FF" w:usb2="02000000" w:usb3="00000000" w:csb0="0000019F" w:csb1="00000000"/>
    <w:embedRegular r:id="rId2" w:fontKey="{6AF837AC-4AB3-4DF0-9F51-438D5A158E5A}"/>
  </w:font>
  <w:font w:name="Calibri">
    <w:panose1 w:val="020F0502020204030204"/>
    <w:charset w:val="CC"/>
    <w:family w:val="swiss"/>
    <w:pitch w:val="variable"/>
    <w:sig w:usb0="E4002EFF" w:usb1="C200247B" w:usb2="00000009" w:usb3="00000000" w:csb0="000001FF" w:csb1="00000000"/>
    <w:embedRegular r:id="rId3" w:fontKey="{A3058293-CD0A-42EA-8B39-E8D8C752170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4BEBF" w14:textId="77777777" w:rsidR="004F1DFD" w:rsidRDefault="004F1DFD">
      <w:pPr>
        <w:spacing w:line="240" w:lineRule="auto"/>
      </w:pPr>
      <w:r>
        <w:separator/>
      </w:r>
    </w:p>
  </w:footnote>
  <w:footnote w:type="continuationSeparator" w:id="0">
    <w:p w14:paraId="58E14A87" w14:textId="77777777" w:rsidR="004F1DFD" w:rsidRDefault="004F1DFD">
      <w:pPr>
        <w:spacing w:line="240" w:lineRule="auto"/>
      </w:pPr>
      <w:r>
        <w:continuationSeparator/>
      </w:r>
    </w:p>
  </w:footnote>
  <w:footnote w:id="1">
    <w:p w14:paraId="00000192" w14:textId="77777777" w:rsidR="00D21323" w:rsidRPr="00337E49" w:rsidRDefault="000F2C83">
      <w:pPr>
        <w:spacing w:line="240" w:lineRule="auto"/>
        <w:rPr>
          <w:rFonts w:ascii="Times New Roman" w:hAnsi="Times New Roman" w:cs="Times New Roman"/>
          <w:sz w:val="20"/>
          <w:szCs w:val="20"/>
        </w:rPr>
      </w:pPr>
      <w:r w:rsidRPr="00337E49">
        <w:rPr>
          <w:rFonts w:ascii="Times New Roman" w:hAnsi="Times New Roman" w:cs="Times New Roman"/>
          <w:vertAlign w:val="superscript"/>
        </w:rPr>
        <w:footnoteRef/>
      </w:r>
      <w:r w:rsidRPr="00337E49">
        <w:rPr>
          <w:rFonts w:ascii="Times New Roman" w:hAnsi="Times New Roman" w:cs="Times New Roman"/>
          <w:sz w:val="20"/>
          <w:szCs w:val="20"/>
        </w:rPr>
        <w:t xml:space="preserve"> До прикладу: Моніторинг судових процесів. Посібник для практиків. Координатор проектів ОБСЄ в Україні, 2015. </w:t>
      </w:r>
      <w:hyperlink r:id="rId1">
        <w:r w:rsidRPr="00337E49">
          <w:rPr>
            <w:rFonts w:ascii="Times New Roman" w:hAnsi="Times New Roman" w:cs="Times New Roman"/>
            <w:color w:val="1155CC"/>
            <w:sz w:val="20"/>
            <w:szCs w:val="20"/>
            <w:u w:val="single"/>
          </w:rPr>
          <w:t>https://www.osce.org/sites/default/files/f/documents/f/0/233511.pdf</w:t>
        </w:r>
      </w:hyperlink>
      <w:r w:rsidRPr="00337E49">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703627"/>
      <w:docPartObj>
        <w:docPartGallery w:val="Page Numbers (Top of Page)"/>
        <w:docPartUnique/>
      </w:docPartObj>
    </w:sdtPr>
    <w:sdtEndPr>
      <w:rPr>
        <w:rFonts w:ascii="Times New Roman" w:hAnsi="Times New Roman" w:cs="Times New Roman"/>
        <w:sz w:val="20"/>
        <w:szCs w:val="20"/>
      </w:rPr>
    </w:sdtEndPr>
    <w:sdtContent>
      <w:p w14:paraId="5B14F55B" w14:textId="55C21F83" w:rsidR="00251D46" w:rsidRPr="00251D46" w:rsidRDefault="00251D46" w:rsidP="00251D46">
        <w:pPr>
          <w:pStyle w:val="ab"/>
          <w:jc w:val="center"/>
          <w:rPr>
            <w:rFonts w:ascii="Times New Roman" w:hAnsi="Times New Roman" w:cs="Times New Roman"/>
            <w:sz w:val="20"/>
            <w:szCs w:val="20"/>
          </w:rPr>
        </w:pPr>
        <w:r w:rsidRPr="00D41CFF">
          <w:rPr>
            <w:rFonts w:ascii="Times New Roman" w:hAnsi="Times New Roman" w:cs="Times New Roman"/>
            <w:color w:val="A6A6A6" w:themeColor="background1" w:themeShade="A6"/>
            <w:sz w:val="20"/>
            <w:szCs w:val="20"/>
          </w:rPr>
          <w:fldChar w:fldCharType="begin"/>
        </w:r>
        <w:r w:rsidRPr="00D41CFF">
          <w:rPr>
            <w:rFonts w:ascii="Times New Roman" w:hAnsi="Times New Roman" w:cs="Times New Roman"/>
            <w:color w:val="A6A6A6" w:themeColor="background1" w:themeShade="A6"/>
            <w:sz w:val="20"/>
            <w:szCs w:val="20"/>
          </w:rPr>
          <w:instrText>PAGE   \* MERGEFORMAT</w:instrText>
        </w:r>
        <w:r w:rsidRPr="00D41CFF">
          <w:rPr>
            <w:rFonts w:ascii="Times New Roman" w:hAnsi="Times New Roman" w:cs="Times New Roman"/>
            <w:color w:val="A6A6A6" w:themeColor="background1" w:themeShade="A6"/>
            <w:sz w:val="20"/>
            <w:szCs w:val="20"/>
          </w:rPr>
          <w:fldChar w:fldCharType="separate"/>
        </w:r>
        <w:r w:rsidR="00207AA2" w:rsidRPr="00207AA2">
          <w:rPr>
            <w:rFonts w:ascii="Times New Roman" w:hAnsi="Times New Roman" w:cs="Times New Roman"/>
            <w:noProof/>
            <w:color w:val="A6A6A6" w:themeColor="background1" w:themeShade="A6"/>
            <w:sz w:val="20"/>
            <w:szCs w:val="20"/>
            <w:lang w:val="ru-RU"/>
          </w:rPr>
          <w:t>2</w:t>
        </w:r>
        <w:r w:rsidRPr="00D41CFF">
          <w:rPr>
            <w:rFonts w:ascii="Times New Roman" w:hAnsi="Times New Roman" w:cs="Times New Roman"/>
            <w:color w:val="A6A6A6" w:themeColor="background1" w:themeShade="A6"/>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F47"/>
    <w:multiLevelType w:val="multilevel"/>
    <w:tmpl w:val="E3000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794BFB"/>
    <w:multiLevelType w:val="multilevel"/>
    <w:tmpl w:val="4E3A87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5CAE431D"/>
    <w:multiLevelType w:val="multilevel"/>
    <w:tmpl w:val="D8781DEA"/>
    <w:lvl w:ilvl="0">
      <w:start w:val="1"/>
      <w:numFmt w:val="decimal"/>
      <w:lvlText w:val="%1."/>
      <w:lvlJc w:val="left"/>
      <w:pPr>
        <w:ind w:left="1065" w:hanging="70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72976D2D"/>
    <w:multiLevelType w:val="multilevel"/>
    <w:tmpl w:val="299C9AE8"/>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23"/>
    <w:rsid w:val="0007206D"/>
    <w:rsid w:val="00082F5E"/>
    <w:rsid w:val="000D1D2F"/>
    <w:rsid w:val="000F2C83"/>
    <w:rsid w:val="00207AA2"/>
    <w:rsid w:val="00223504"/>
    <w:rsid w:val="00240598"/>
    <w:rsid w:val="00251D46"/>
    <w:rsid w:val="002C2B24"/>
    <w:rsid w:val="00337E49"/>
    <w:rsid w:val="00361755"/>
    <w:rsid w:val="003B0361"/>
    <w:rsid w:val="003B5965"/>
    <w:rsid w:val="00435BE3"/>
    <w:rsid w:val="00441552"/>
    <w:rsid w:val="004D7973"/>
    <w:rsid w:val="004F1DFD"/>
    <w:rsid w:val="00504038"/>
    <w:rsid w:val="00586989"/>
    <w:rsid w:val="00620894"/>
    <w:rsid w:val="0074710C"/>
    <w:rsid w:val="00815613"/>
    <w:rsid w:val="008568D8"/>
    <w:rsid w:val="008870A2"/>
    <w:rsid w:val="009151F9"/>
    <w:rsid w:val="00935063"/>
    <w:rsid w:val="00951CA3"/>
    <w:rsid w:val="00995243"/>
    <w:rsid w:val="009D242A"/>
    <w:rsid w:val="009D74AB"/>
    <w:rsid w:val="00A66DDB"/>
    <w:rsid w:val="00B361A6"/>
    <w:rsid w:val="00BA1C35"/>
    <w:rsid w:val="00C044E7"/>
    <w:rsid w:val="00D21323"/>
    <w:rsid w:val="00D336D4"/>
    <w:rsid w:val="00D35BEA"/>
    <w:rsid w:val="00D41CFF"/>
    <w:rsid w:val="00DB1CC6"/>
    <w:rsid w:val="00DC783B"/>
    <w:rsid w:val="00EF75C6"/>
    <w:rsid w:val="00FC0393"/>
    <w:rsid w:val="00FF2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E9B56"/>
  <w15:docId w15:val="{202426B0-4739-426E-B28A-312D276E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4">
    <w:basedOn w:val="TableNormal2"/>
    <w:tblPr>
      <w:tblStyleRowBandSize w:val="1"/>
      <w:tblStyleColBandSize w:val="1"/>
      <w:tblCellMar>
        <w:top w:w="0" w:type="dxa"/>
        <w:left w:w="115" w:type="dxa"/>
        <w:bottom w:w="0" w:type="dxa"/>
        <w:right w:w="115" w:type="dxa"/>
      </w:tblCellMar>
    </w:tblPr>
  </w:style>
  <w:style w:type="table" w:customStyle="1" w:styleId="a5">
    <w:basedOn w:val="TableNormal2"/>
    <w:tblPr>
      <w:tblStyleRowBandSize w:val="1"/>
      <w:tblStyleColBandSize w:val="1"/>
      <w:tblCellMar>
        <w:top w:w="0" w:type="dxa"/>
        <w:left w:w="115" w:type="dxa"/>
        <w:bottom w:w="0" w:type="dxa"/>
        <w:right w:w="115" w:type="dxa"/>
      </w:tblCellMar>
    </w:tblPr>
  </w:style>
  <w:style w:type="paragraph" w:styleId="a6">
    <w:name w:val="List Paragraph"/>
    <w:uiPriority w:val="34"/>
    <w:qFormat/>
    <w:rsid w:val="00763402"/>
    <w:pPr>
      <w:ind w:left="720"/>
      <w:contextualSpacing/>
    </w:pPr>
  </w:style>
  <w:style w:type="character" w:styleId="a7">
    <w:name w:val="Hyperlink"/>
    <w:basedOn w:val="a0"/>
    <w:uiPriority w:val="99"/>
    <w:unhideWhenUsed/>
    <w:rsid w:val="00FE586C"/>
    <w:rPr>
      <w:color w:val="0000FF" w:themeColor="hyperlink"/>
      <w:u w:val="single"/>
    </w:rPr>
  </w:style>
  <w:style w:type="paragraph" w:styleId="a8">
    <w:name w:val="Balloon Text"/>
    <w:link w:val="a9"/>
    <w:uiPriority w:val="99"/>
    <w:semiHidden/>
    <w:unhideWhenUsed/>
    <w:rsid w:val="00761B48"/>
    <w:pPr>
      <w:spacing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761B48"/>
    <w:rPr>
      <w:rFonts w:ascii="Segoe UI" w:hAnsi="Segoe UI" w:cs="Segoe UI"/>
      <w:sz w:val="18"/>
      <w:szCs w:val="18"/>
    </w:rPr>
  </w:style>
  <w:style w:type="paragraph" w:styleId="aa">
    <w:name w:val="Subtitle"/>
    <w:basedOn w:val="a"/>
    <w:next w:val="a"/>
    <w:pPr>
      <w:keepNext/>
      <w:keepLines/>
      <w:spacing w:after="320"/>
    </w:pPr>
    <w:rPr>
      <w:color w:val="666666"/>
      <w:sz w:val="30"/>
      <w:szCs w:val="30"/>
    </w:rPr>
  </w:style>
  <w:style w:type="paragraph" w:styleId="ab">
    <w:name w:val="header"/>
    <w:basedOn w:val="a"/>
    <w:link w:val="ac"/>
    <w:uiPriority w:val="99"/>
    <w:unhideWhenUsed/>
    <w:rsid w:val="00251D46"/>
    <w:pPr>
      <w:tabs>
        <w:tab w:val="center" w:pos="4819"/>
        <w:tab w:val="right" w:pos="9639"/>
      </w:tabs>
      <w:spacing w:line="240" w:lineRule="auto"/>
    </w:pPr>
  </w:style>
  <w:style w:type="character" w:customStyle="1" w:styleId="ac">
    <w:name w:val="Верхній колонтитул Знак"/>
    <w:basedOn w:val="a0"/>
    <w:link w:val="ab"/>
    <w:uiPriority w:val="99"/>
    <w:rsid w:val="00251D46"/>
  </w:style>
  <w:style w:type="paragraph" w:styleId="ad">
    <w:name w:val="footer"/>
    <w:basedOn w:val="a"/>
    <w:link w:val="ae"/>
    <w:uiPriority w:val="99"/>
    <w:unhideWhenUsed/>
    <w:rsid w:val="00251D46"/>
    <w:pPr>
      <w:tabs>
        <w:tab w:val="center" w:pos="4819"/>
        <w:tab w:val="right" w:pos="9639"/>
      </w:tabs>
      <w:spacing w:line="240" w:lineRule="auto"/>
    </w:pPr>
  </w:style>
  <w:style w:type="character" w:customStyle="1" w:styleId="ae">
    <w:name w:val="Нижній колонтитул Знак"/>
    <w:basedOn w:val="a0"/>
    <w:link w:val="ad"/>
    <w:uiPriority w:val="99"/>
    <w:rsid w:val="00251D46"/>
  </w:style>
  <w:style w:type="paragraph" w:styleId="af">
    <w:name w:val="No Spacing"/>
    <w:link w:val="af0"/>
    <w:uiPriority w:val="1"/>
    <w:qFormat/>
    <w:rsid w:val="00251D46"/>
    <w:pPr>
      <w:spacing w:line="240" w:lineRule="auto"/>
    </w:pPr>
    <w:rPr>
      <w:rFonts w:asciiTheme="minorHAnsi" w:eastAsiaTheme="minorEastAsia" w:hAnsiTheme="minorHAnsi" w:cstheme="minorBidi"/>
      <w:lang w:val="uk-UA"/>
    </w:rPr>
  </w:style>
  <w:style w:type="character" w:customStyle="1" w:styleId="af0">
    <w:name w:val="Без інтервалів Знак"/>
    <w:basedOn w:val="a0"/>
    <w:link w:val="af"/>
    <w:uiPriority w:val="1"/>
    <w:rsid w:val="00251D46"/>
    <w:rPr>
      <w:rFonts w:asciiTheme="minorHAnsi" w:eastAsiaTheme="minorEastAsia" w:hAnsiTheme="minorHAnsi" w:cstheme="minorBidi"/>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cj.gov.ua/page/vysnovky-kryes"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akon.rada.gov.ua/laws/show/1700-18" TargetMode="External"/><Relationship Id="rId17" Type="http://schemas.openxmlformats.org/officeDocument/2006/relationships/hyperlink" Target="https://sud.ua/uk/news/publication/343656-obschestvennye-obedineniya-budut-otsenivat-kulturu-obscheniya-sudey-v-protsesse-opublikovano-polozhenie-o-regulyarnom-otsenivanii-sudey" TargetMode="External"/><Relationship Id="rId2" Type="http://schemas.openxmlformats.org/officeDocument/2006/relationships/customXml" Target="../customXml/item2.xml"/><Relationship Id="rId16" Type="http://schemas.openxmlformats.org/officeDocument/2006/relationships/hyperlink" Target="https://reyestr.court.gov.ua/Review/1075337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1402-19" TargetMode="External"/><Relationship Id="rId5" Type="http://schemas.openxmlformats.org/officeDocument/2006/relationships/settings" Target="settings.xml"/><Relationship Id="rId15" Type="http://schemas.openxmlformats.org/officeDocument/2006/relationships/hyperlink" Target="https://www.vkksu.gov.ua/rubric/regulyarne-ocinyuvannya" TargetMode="External"/><Relationship Id="rId10" Type="http://schemas.openxmlformats.org/officeDocument/2006/relationships/hyperlink" Target="https://zakon.rada.gov.ua/rada/show/n0001415-1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zakon2.rada.gov.ua/laws/show/254%D0%BA/96-%D0%B2%D1%80" TargetMode="External"/><Relationship Id="rId14" Type="http://schemas.openxmlformats.org/officeDocument/2006/relationships/hyperlink" Target="https://vkksu.gov.ua/sites/default/files/polozhennya_ko_28.05.2025.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sce.org/sites/default/files/f/documents/f/0/2335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SQ1y2XcBFL0xjlEgkpvxcDRqw==">CgMxLjAyDmguczUyZGVlZjRzMzVmMg5oLnB6czVzbHVxOGE0NDIOaC4xa2l6MGZjbjdhZTIyDmguODh3ODBvbXZzbjF3Mg1oLmV2ZHlkbnB0dGwyOAByITFiWjUyci1oYTBOSVFFblo5Y1U2Nm55QVg4LThhN01iRA==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3539E2-0FED-47A8-90D0-F2F49EB9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27991</Words>
  <Characters>15956</Characters>
  <Application>Microsoft Office Word</Application>
  <DocSecurity>0</DocSecurity>
  <Lines>132</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 Кравчук</dc:creator>
  <cp:lastModifiedBy>Шалаєва Тетяна Олександрівна</cp:lastModifiedBy>
  <cp:revision>2</cp:revision>
  <cp:lastPrinted>2026-06-01T12:17:00Z</cp:lastPrinted>
  <dcterms:created xsi:type="dcterms:W3CDTF">2026-08-13T09:01:00Z</dcterms:created>
  <dcterms:modified xsi:type="dcterms:W3CDTF">2026-08-13T09:01:00Z</dcterms:modified>
</cp:coreProperties>
</file>